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96A72" w14:textId="4808B144" w:rsidR="00A50A8B" w:rsidRDefault="00A50A8B" w:rsidP="00A50A8B">
      <w:pPr>
        <w:pStyle w:val="OMBInfo"/>
      </w:pPr>
      <w:r>
        <w:t xml:space="preserve">OMB No. 0925-0001 and 0925-0002 (Rev. </w:t>
      </w:r>
      <w:r w:rsidR="00202565">
        <w:t>10/2021</w:t>
      </w:r>
      <w:r w:rsidR="007E6E1E" w:rsidRPr="007E6E1E">
        <w:t xml:space="preserve"> </w:t>
      </w:r>
      <w:r>
        <w:t xml:space="preserve">Approved Through </w:t>
      </w:r>
      <w:r w:rsidR="00202565">
        <w:t>09/30/2024</w:t>
      </w:r>
      <w:r>
        <w:t>)</w:t>
      </w:r>
    </w:p>
    <w:p w14:paraId="48D07FF5" w14:textId="77777777" w:rsidR="002B7443" w:rsidRPr="006E6FB5" w:rsidRDefault="002B7443" w:rsidP="006E6FB5">
      <w:pPr>
        <w:pStyle w:val="Title"/>
      </w:pPr>
      <w:r w:rsidRPr="006E6FB5">
        <w:t>BIOGRAPHICAL SKETCH</w:t>
      </w:r>
    </w:p>
    <w:p w14:paraId="01C9B6C5" w14:textId="7EDF005C" w:rsidR="002B7443" w:rsidRPr="00F7284D" w:rsidRDefault="002B7443" w:rsidP="00F7284D">
      <w:pPr>
        <w:pStyle w:val="HeadingNote"/>
      </w:pPr>
      <w:r w:rsidRPr="00F7284D">
        <w:t>Provide the following information for the Senior/key personnel and other significant contributors.</w:t>
      </w:r>
      <w:r w:rsidRPr="00F7284D">
        <w:br w:type="textWrapping" w:clear="all"/>
        <w:t xml:space="preserve">Follow this format for each person.  </w:t>
      </w:r>
      <w:r w:rsidRPr="00656AB8">
        <w:rPr>
          <w:b/>
        </w:rPr>
        <w:t xml:space="preserve">DO NOT EXCEED </w:t>
      </w:r>
      <w:r>
        <w:rPr>
          <w:b/>
        </w:rPr>
        <w:t>FIVE</w:t>
      </w:r>
      <w:r w:rsidRPr="00656AB8">
        <w:rPr>
          <w:b/>
        </w:rPr>
        <w:t xml:space="preserve"> PAGES.</w:t>
      </w:r>
    </w:p>
    <w:p w14:paraId="4F46CDBB" w14:textId="3BC7E664" w:rsidR="002B7443" w:rsidRPr="00D3779E" w:rsidRDefault="002B7443" w:rsidP="002B7443">
      <w:pPr>
        <w:pStyle w:val="FormFieldCaption1"/>
        <w:pBdr>
          <w:between w:val="single" w:sz="4" w:space="1" w:color="auto"/>
        </w:pBdr>
        <w:rPr>
          <w:sz w:val="32"/>
        </w:rPr>
      </w:pPr>
      <w:r w:rsidRPr="00D3779E">
        <w:rPr>
          <w:sz w:val="22"/>
        </w:rPr>
        <w:t>NAME:</w:t>
      </w:r>
      <w:r w:rsidR="00E03323">
        <w:rPr>
          <w:sz w:val="22"/>
        </w:rPr>
        <w:t xml:space="preserve"> </w:t>
      </w:r>
      <w:r w:rsidR="009F627F">
        <w:rPr>
          <w:sz w:val="22"/>
        </w:rPr>
        <w:t xml:space="preserve"> Martorell, Reynaldo</w:t>
      </w:r>
    </w:p>
    <w:p w14:paraId="7FFF41C1" w14:textId="2434E65A" w:rsidR="002B7443" w:rsidRPr="00D3779E" w:rsidRDefault="00E047AD" w:rsidP="002B7443">
      <w:pPr>
        <w:pStyle w:val="FormFieldCaption1"/>
        <w:pBdr>
          <w:between w:val="single" w:sz="4" w:space="1" w:color="auto"/>
        </w:pBdr>
        <w:rPr>
          <w:sz w:val="32"/>
        </w:rPr>
      </w:pPr>
      <w:r w:rsidRPr="00D3779E">
        <w:rPr>
          <w:sz w:val="22"/>
        </w:rPr>
        <w:t xml:space="preserve">eRA COMMONS </w:t>
      </w:r>
      <w:proofErr w:type="gramStart"/>
      <w:r w:rsidRPr="00D3779E">
        <w:rPr>
          <w:sz w:val="22"/>
        </w:rPr>
        <w:t>USER NAME</w:t>
      </w:r>
      <w:proofErr w:type="gramEnd"/>
      <w:r w:rsidRPr="00D3779E">
        <w:rPr>
          <w:sz w:val="22"/>
        </w:rPr>
        <w:t xml:space="preserve"> (credential, e.g., agency login)</w:t>
      </w:r>
      <w:r w:rsidR="002B7443" w:rsidRPr="00D3779E">
        <w:rPr>
          <w:sz w:val="22"/>
        </w:rPr>
        <w:t>:</w:t>
      </w:r>
      <w:r w:rsidR="00E03323">
        <w:rPr>
          <w:sz w:val="22"/>
        </w:rPr>
        <w:t xml:space="preserve"> </w:t>
      </w:r>
      <w:r w:rsidR="009F627F" w:rsidRPr="00D51DC4">
        <w:rPr>
          <w:sz w:val="22"/>
          <w:szCs w:val="22"/>
        </w:rPr>
        <w:t xml:space="preserve">): </w:t>
      </w:r>
      <w:r w:rsidR="009F627F" w:rsidRPr="002B64E7">
        <w:rPr>
          <w:sz w:val="22"/>
          <w:szCs w:val="22"/>
        </w:rPr>
        <w:t>REYNALDO_MARTORELL</w:t>
      </w:r>
    </w:p>
    <w:p w14:paraId="74873D9A" w14:textId="73C61317" w:rsidR="002B7443" w:rsidRPr="00D3779E" w:rsidRDefault="00E047AD" w:rsidP="002B7443">
      <w:pPr>
        <w:pStyle w:val="FormFieldCaption1"/>
        <w:pBdr>
          <w:between w:val="single" w:sz="4" w:space="1" w:color="auto"/>
        </w:pBdr>
        <w:rPr>
          <w:sz w:val="32"/>
        </w:rPr>
      </w:pPr>
      <w:r w:rsidRPr="00D3779E">
        <w:rPr>
          <w:sz w:val="22"/>
        </w:rPr>
        <w:t>POSITION TITLE</w:t>
      </w:r>
      <w:r w:rsidR="002B7443" w:rsidRPr="00D3779E">
        <w:rPr>
          <w:sz w:val="22"/>
        </w:rPr>
        <w:t>:</w:t>
      </w:r>
      <w:r w:rsidR="009F627F" w:rsidRPr="009F627F">
        <w:rPr>
          <w:sz w:val="22"/>
          <w:szCs w:val="22"/>
        </w:rPr>
        <w:t xml:space="preserve"> </w:t>
      </w:r>
      <w:r w:rsidR="009F627F" w:rsidRPr="002B64E7">
        <w:rPr>
          <w:sz w:val="22"/>
          <w:szCs w:val="22"/>
        </w:rPr>
        <w:t>Robert W</w:t>
      </w:r>
      <w:r w:rsidR="009F627F">
        <w:rPr>
          <w:sz w:val="22"/>
          <w:szCs w:val="22"/>
        </w:rPr>
        <w:t>oodruff</w:t>
      </w:r>
      <w:r w:rsidR="009F627F" w:rsidRPr="002B64E7">
        <w:rPr>
          <w:sz w:val="22"/>
          <w:szCs w:val="22"/>
        </w:rPr>
        <w:t xml:space="preserve"> Professor of International Nutrition</w:t>
      </w:r>
      <w:r w:rsidR="00405955">
        <w:rPr>
          <w:sz w:val="22"/>
          <w:szCs w:val="22"/>
        </w:rPr>
        <w:t>, Hubert Department of Global Health</w:t>
      </w:r>
    </w:p>
    <w:p w14:paraId="035344DF" w14:textId="571DC801" w:rsidR="002B7443" w:rsidRPr="00D3779E" w:rsidRDefault="002B7443" w:rsidP="002B7443">
      <w:pPr>
        <w:pStyle w:val="FormFieldCaption1"/>
        <w:pBdr>
          <w:between w:val="single" w:sz="4" w:space="1" w:color="auto"/>
        </w:pBdr>
        <w:rPr>
          <w:sz w:val="22"/>
        </w:rPr>
      </w:pPr>
      <w:r w:rsidRPr="00D3779E">
        <w:rPr>
          <w:sz w:val="22"/>
        </w:rPr>
        <w:t xml:space="preserve">EDUCATION/TRAINING </w:t>
      </w:r>
      <w:r w:rsidRPr="00D3779E">
        <w:rPr>
          <w:rStyle w:val="Emphasis"/>
          <w:sz w:val="22"/>
        </w:rPr>
        <w:t>(Begin with baccalaureate or other initial professional education, such as nursing, include postdoctoral training and residency training if applicable.</w:t>
      </w:r>
      <w:r w:rsidR="00C1247F" w:rsidRPr="00D3779E">
        <w:rPr>
          <w:rStyle w:val="Emphasis"/>
          <w:sz w:val="22"/>
        </w:rPr>
        <w:t xml:space="preserve"> Add/delete rows as necessary.</w:t>
      </w:r>
      <w:r w:rsidRPr="00D3779E">
        <w:rPr>
          <w:rStyle w:val="Emphasis"/>
          <w:sz w:val="22"/>
        </w:rPr>
        <w:t>)</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220"/>
        <w:gridCol w:w="1440"/>
        <w:gridCol w:w="1584"/>
        <w:gridCol w:w="2592"/>
      </w:tblGrid>
      <w:tr w:rsidR="00933173" w:rsidRPr="00D3779E" w14:paraId="21BBC1F3" w14:textId="77777777" w:rsidTr="005F0B12">
        <w:trPr>
          <w:cantSplit/>
          <w:tblHeader/>
        </w:trPr>
        <w:tc>
          <w:tcPr>
            <w:tcW w:w="5220" w:type="dxa"/>
            <w:tcBorders>
              <w:top w:val="single" w:sz="4" w:space="0" w:color="auto"/>
              <w:bottom w:val="single" w:sz="4" w:space="0" w:color="auto"/>
            </w:tcBorders>
            <w:vAlign w:val="center"/>
          </w:tcPr>
          <w:p w14:paraId="5DCFDE41" w14:textId="77777777" w:rsidR="00933173" w:rsidRPr="00D3779E" w:rsidRDefault="00933173" w:rsidP="000B5732">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0A8E3E0E" w14:textId="77777777" w:rsidR="00933173" w:rsidRPr="00D3779E" w:rsidRDefault="00933173" w:rsidP="000B5732">
            <w:pPr>
              <w:pStyle w:val="FormFieldCaption"/>
              <w:jc w:val="center"/>
              <w:rPr>
                <w:sz w:val="22"/>
              </w:rPr>
            </w:pPr>
            <w:r w:rsidRPr="00D3779E">
              <w:rPr>
                <w:sz w:val="22"/>
              </w:rPr>
              <w:t>DEGREE</w:t>
            </w:r>
          </w:p>
          <w:p w14:paraId="0DEF5BC8" w14:textId="77777777" w:rsidR="00933173" w:rsidRPr="00D3779E" w:rsidRDefault="00933173" w:rsidP="000B5732">
            <w:pPr>
              <w:pStyle w:val="FormFieldCaption"/>
              <w:jc w:val="center"/>
              <w:rPr>
                <w:rStyle w:val="Emphasis"/>
                <w:sz w:val="22"/>
              </w:rPr>
            </w:pPr>
            <w:r w:rsidRPr="00D3779E">
              <w:rPr>
                <w:rStyle w:val="Emphasis"/>
                <w:sz w:val="22"/>
              </w:rPr>
              <w:t>(if applicable)</w:t>
            </w:r>
          </w:p>
          <w:p w14:paraId="32A0C014" w14:textId="77777777" w:rsidR="00933173" w:rsidRPr="00D3779E" w:rsidRDefault="00933173" w:rsidP="000B5732">
            <w:pPr>
              <w:pStyle w:val="FormFieldCaption"/>
              <w:rPr>
                <w:sz w:val="22"/>
              </w:rPr>
            </w:pPr>
          </w:p>
        </w:tc>
        <w:tc>
          <w:tcPr>
            <w:tcW w:w="1584" w:type="dxa"/>
            <w:tcBorders>
              <w:top w:val="single" w:sz="4" w:space="0" w:color="auto"/>
              <w:bottom w:val="single" w:sz="4" w:space="0" w:color="auto"/>
            </w:tcBorders>
            <w:vAlign w:val="center"/>
          </w:tcPr>
          <w:p w14:paraId="4ED3B33F" w14:textId="77777777" w:rsidR="00C1247F" w:rsidRPr="00D3779E" w:rsidRDefault="00C1247F" w:rsidP="000B5732">
            <w:pPr>
              <w:pStyle w:val="FormFieldCaption"/>
              <w:jc w:val="center"/>
              <w:rPr>
                <w:sz w:val="22"/>
              </w:rPr>
            </w:pPr>
            <w:r w:rsidRPr="00D3779E">
              <w:rPr>
                <w:sz w:val="22"/>
              </w:rPr>
              <w:t>Completion Date</w:t>
            </w:r>
          </w:p>
          <w:p w14:paraId="76B4E15A" w14:textId="09B57E40" w:rsidR="00933173" w:rsidRPr="00D3779E" w:rsidRDefault="00933173" w:rsidP="000B5732">
            <w:pPr>
              <w:pStyle w:val="FormFieldCaption"/>
              <w:jc w:val="center"/>
              <w:rPr>
                <w:sz w:val="22"/>
              </w:rPr>
            </w:pPr>
            <w:r w:rsidRPr="00D3779E">
              <w:rPr>
                <w:sz w:val="22"/>
              </w:rPr>
              <w:t>MM/YYYY</w:t>
            </w:r>
          </w:p>
          <w:p w14:paraId="143620A6" w14:textId="77777777" w:rsidR="00933173" w:rsidRPr="00D3779E" w:rsidRDefault="00933173" w:rsidP="000B5732">
            <w:pPr>
              <w:pStyle w:val="FormFieldCaption"/>
              <w:rPr>
                <w:sz w:val="22"/>
              </w:rPr>
            </w:pPr>
          </w:p>
        </w:tc>
        <w:tc>
          <w:tcPr>
            <w:tcW w:w="2592" w:type="dxa"/>
            <w:tcBorders>
              <w:top w:val="single" w:sz="4" w:space="0" w:color="auto"/>
              <w:bottom w:val="single" w:sz="4" w:space="0" w:color="auto"/>
            </w:tcBorders>
            <w:vAlign w:val="center"/>
          </w:tcPr>
          <w:p w14:paraId="7E87FA43" w14:textId="77777777" w:rsidR="00933173" w:rsidRPr="00D3779E" w:rsidRDefault="00933173" w:rsidP="000B5732">
            <w:pPr>
              <w:pStyle w:val="FormFieldCaption"/>
              <w:jc w:val="center"/>
              <w:rPr>
                <w:sz w:val="22"/>
              </w:rPr>
            </w:pPr>
            <w:r w:rsidRPr="00D3779E">
              <w:rPr>
                <w:sz w:val="22"/>
              </w:rPr>
              <w:t>FIELD OF STUDY</w:t>
            </w:r>
          </w:p>
          <w:p w14:paraId="4198E5FC" w14:textId="77777777" w:rsidR="00933173" w:rsidRPr="00D3779E" w:rsidRDefault="00933173" w:rsidP="000B5732">
            <w:pPr>
              <w:pStyle w:val="FormFieldCaption"/>
              <w:rPr>
                <w:sz w:val="22"/>
              </w:rPr>
            </w:pPr>
          </w:p>
        </w:tc>
      </w:tr>
    </w:tbl>
    <w:tbl>
      <w:tblPr>
        <w:tblW w:w="10836" w:type="dxa"/>
        <w:tblInd w:w="-108" w:type="dxa"/>
        <w:tblBorders>
          <w:top w:val="single" w:sz="4" w:space="0" w:color="auto"/>
          <w:insideV w:val="single" w:sz="4"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364"/>
        <w:gridCol w:w="1440"/>
        <w:gridCol w:w="1440"/>
        <w:gridCol w:w="2592"/>
      </w:tblGrid>
      <w:tr w:rsidR="009F627F" w:rsidRPr="002209F0" w14:paraId="5DB73AB5" w14:textId="77777777" w:rsidTr="009F627F">
        <w:trPr>
          <w:cantSplit/>
          <w:trHeight w:val="395"/>
        </w:trPr>
        <w:tc>
          <w:tcPr>
            <w:tcW w:w="5364" w:type="dxa"/>
            <w:tcBorders>
              <w:top w:val="single" w:sz="4" w:space="0" w:color="auto"/>
              <w:bottom w:val="nil"/>
            </w:tcBorders>
            <w:shd w:val="clear" w:color="auto" w:fill="auto"/>
            <w:vAlign w:val="center"/>
          </w:tcPr>
          <w:p w14:paraId="1BAD3A1D" w14:textId="77777777" w:rsidR="009F627F" w:rsidRPr="002209F0" w:rsidRDefault="009F627F" w:rsidP="008E07A3">
            <w:pPr>
              <w:pStyle w:val="FormFieldCaption"/>
              <w:spacing w:before="20" w:after="20"/>
              <w:rPr>
                <w:sz w:val="22"/>
                <w:szCs w:val="22"/>
              </w:rPr>
            </w:pPr>
            <w:r w:rsidRPr="002209F0">
              <w:rPr>
                <w:sz w:val="22"/>
                <w:szCs w:val="22"/>
              </w:rPr>
              <w:t>St. Louis University, St. Louis, MO</w:t>
            </w:r>
          </w:p>
        </w:tc>
        <w:tc>
          <w:tcPr>
            <w:tcW w:w="1440" w:type="dxa"/>
            <w:tcBorders>
              <w:top w:val="single" w:sz="4" w:space="0" w:color="auto"/>
              <w:bottom w:val="nil"/>
            </w:tcBorders>
            <w:shd w:val="clear" w:color="auto" w:fill="auto"/>
            <w:vAlign w:val="center"/>
          </w:tcPr>
          <w:p w14:paraId="5F9B2A39" w14:textId="77777777" w:rsidR="009F627F" w:rsidRPr="002209F0" w:rsidRDefault="009F627F" w:rsidP="008E07A3">
            <w:pPr>
              <w:pStyle w:val="FormFieldCaption"/>
              <w:spacing w:before="20" w:after="20"/>
              <w:jc w:val="center"/>
              <w:rPr>
                <w:sz w:val="22"/>
                <w:szCs w:val="22"/>
              </w:rPr>
            </w:pPr>
            <w:r w:rsidRPr="002209F0">
              <w:rPr>
                <w:sz w:val="22"/>
                <w:szCs w:val="22"/>
              </w:rPr>
              <w:t>AB</w:t>
            </w:r>
          </w:p>
        </w:tc>
        <w:tc>
          <w:tcPr>
            <w:tcW w:w="1440" w:type="dxa"/>
            <w:tcBorders>
              <w:top w:val="single" w:sz="4" w:space="0" w:color="auto"/>
              <w:bottom w:val="nil"/>
            </w:tcBorders>
            <w:shd w:val="clear" w:color="auto" w:fill="auto"/>
            <w:vAlign w:val="center"/>
          </w:tcPr>
          <w:p w14:paraId="5EAFB5AE" w14:textId="77777777" w:rsidR="009F627F" w:rsidRPr="002209F0" w:rsidRDefault="009F627F" w:rsidP="008E07A3">
            <w:pPr>
              <w:pStyle w:val="FormFieldCaption"/>
              <w:spacing w:before="20" w:after="20"/>
              <w:jc w:val="center"/>
              <w:rPr>
                <w:sz w:val="22"/>
                <w:szCs w:val="22"/>
              </w:rPr>
            </w:pPr>
            <w:r w:rsidRPr="002209F0">
              <w:rPr>
                <w:sz w:val="22"/>
                <w:szCs w:val="22"/>
              </w:rPr>
              <w:t>05/69</w:t>
            </w:r>
          </w:p>
        </w:tc>
        <w:tc>
          <w:tcPr>
            <w:tcW w:w="2592" w:type="dxa"/>
            <w:tcBorders>
              <w:top w:val="single" w:sz="4" w:space="0" w:color="auto"/>
              <w:bottom w:val="nil"/>
            </w:tcBorders>
            <w:shd w:val="clear" w:color="auto" w:fill="auto"/>
            <w:vAlign w:val="center"/>
          </w:tcPr>
          <w:p w14:paraId="15D9C069" w14:textId="77777777" w:rsidR="009F627F" w:rsidRPr="002209F0" w:rsidRDefault="009F627F" w:rsidP="008E07A3">
            <w:pPr>
              <w:pStyle w:val="FormFieldCaption"/>
              <w:spacing w:before="20" w:after="20"/>
              <w:rPr>
                <w:sz w:val="22"/>
                <w:szCs w:val="22"/>
              </w:rPr>
            </w:pPr>
            <w:r w:rsidRPr="002209F0">
              <w:rPr>
                <w:sz w:val="22"/>
                <w:szCs w:val="22"/>
              </w:rPr>
              <w:t>Anthropology</w:t>
            </w:r>
          </w:p>
        </w:tc>
      </w:tr>
      <w:tr w:rsidR="009F627F" w:rsidRPr="002209F0" w14:paraId="3F1C7D5C" w14:textId="77777777" w:rsidTr="009F627F">
        <w:trPr>
          <w:cantSplit/>
          <w:trHeight w:val="395"/>
        </w:trPr>
        <w:tc>
          <w:tcPr>
            <w:tcW w:w="5364" w:type="dxa"/>
            <w:tcBorders>
              <w:top w:val="nil"/>
              <w:bottom w:val="single" w:sz="4" w:space="0" w:color="auto"/>
            </w:tcBorders>
            <w:shd w:val="clear" w:color="auto" w:fill="auto"/>
            <w:vAlign w:val="center"/>
          </w:tcPr>
          <w:p w14:paraId="5954254B" w14:textId="77777777" w:rsidR="009F627F" w:rsidRPr="002209F0" w:rsidRDefault="009F627F" w:rsidP="008E07A3">
            <w:pPr>
              <w:pStyle w:val="FormFieldCaption"/>
              <w:spacing w:before="20" w:after="20"/>
              <w:rPr>
                <w:sz w:val="22"/>
                <w:szCs w:val="22"/>
              </w:rPr>
            </w:pPr>
            <w:r w:rsidRPr="002209F0">
              <w:rPr>
                <w:sz w:val="22"/>
                <w:szCs w:val="22"/>
              </w:rPr>
              <w:t>University of Washington, Seattle, WA</w:t>
            </w:r>
          </w:p>
        </w:tc>
        <w:tc>
          <w:tcPr>
            <w:tcW w:w="1440" w:type="dxa"/>
            <w:tcBorders>
              <w:top w:val="nil"/>
              <w:bottom w:val="single" w:sz="4" w:space="0" w:color="auto"/>
            </w:tcBorders>
            <w:shd w:val="clear" w:color="auto" w:fill="auto"/>
            <w:vAlign w:val="center"/>
          </w:tcPr>
          <w:p w14:paraId="0C278B89" w14:textId="77777777" w:rsidR="009F627F" w:rsidRPr="002209F0" w:rsidRDefault="009F627F" w:rsidP="008E07A3">
            <w:pPr>
              <w:pStyle w:val="FormFieldCaption"/>
              <w:spacing w:before="20" w:after="20"/>
              <w:jc w:val="center"/>
              <w:rPr>
                <w:sz w:val="22"/>
                <w:szCs w:val="22"/>
              </w:rPr>
            </w:pPr>
            <w:r w:rsidRPr="002209F0">
              <w:rPr>
                <w:sz w:val="22"/>
                <w:szCs w:val="22"/>
              </w:rPr>
              <w:t>PhD</w:t>
            </w:r>
          </w:p>
        </w:tc>
        <w:tc>
          <w:tcPr>
            <w:tcW w:w="1440" w:type="dxa"/>
            <w:tcBorders>
              <w:top w:val="nil"/>
              <w:bottom w:val="single" w:sz="4" w:space="0" w:color="auto"/>
            </w:tcBorders>
            <w:shd w:val="clear" w:color="auto" w:fill="auto"/>
            <w:vAlign w:val="center"/>
          </w:tcPr>
          <w:p w14:paraId="6420BFB7" w14:textId="77777777" w:rsidR="009F627F" w:rsidRPr="002209F0" w:rsidRDefault="009F627F" w:rsidP="008E07A3">
            <w:pPr>
              <w:pStyle w:val="FormFieldCaption"/>
              <w:spacing w:before="20" w:after="20"/>
              <w:jc w:val="center"/>
              <w:rPr>
                <w:sz w:val="22"/>
                <w:szCs w:val="22"/>
              </w:rPr>
            </w:pPr>
            <w:r w:rsidRPr="002209F0">
              <w:rPr>
                <w:sz w:val="22"/>
                <w:szCs w:val="22"/>
              </w:rPr>
              <w:t>05/73</w:t>
            </w:r>
          </w:p>
        </w:tc>
        <w:tc>
          <w:tcPr>
            <w:tcW w:w="2592" w:type="dxa"/>
            <w:tcBorders>
              <w:top w:val="nil"/>
              <w:bottom w:val="single" w:sz="4" w:space="0" w:color="auto"/>
            </w:tcBorders>
            <w:shd w:val="clear" w:color="auto" w:fill="auto"/>
            <w:vAlign w:val="center"/>
          </w:tcPr>
          <w:p w14:paraId="5767AB1E" w14:textId="77777777" w:rsidR="009F627F" w:rsidRPr="002209F0" w:rsidRDefault="009F627F" w:rsidP="008E07A3">
            <w:pPr>
              <w:pStyle w:val="FormFieldCaption"/>
              <w:spacing w:before="20" w:after="20"/>
              <w:rPr>
                <w:sz w:val="22"/>
                <w:szCs w:val="22"/>
              </w:rPr>
            </w:pPr>
            <w:r w:rsidRPr="002209F0">
              <w:rPr>
                <w:sz w:val="22"/>
                <w:szCs w:val="22"/>
              </w:rPr>
              <w:t>Biological Anthropology</w:t>
            </w:r>
          </w:p>
        </w:tc>
      </w:tr>
    </w:tbl>
    <w:p w14:paraId="6FC868BE" w14:textId="735E875D" w:rsidR="009E52CA" w:rsidRDefault="009E52CA">
      <w:pPr>
        <w:pStyle w:val="DataField11pt-Single"/>
      </w:pPr>
    </w:p>
    <w:p w14:paraId="6946B38D" w14:textId="0E15F212" w:rsidR="00941EDD" w:rsidRDefault="002C51BC" w:rsidP="00941EDD">
      <w:r w:rsidRPr="00A128A0">
        <w:rPr>
          <w:rStyle w:val="Strong"/>
        </w:rPr>
        <w:t>A.</w:t>
      </w:r>
      <w:r w:rsidRPr="00A128A0">
        <w:rPr>
          <w:rStyle w:val="Strong"/>
        </w:rPr>
        <w:tab/>
        <w:t>Personal Statement</w:t>
      </w:r>
      <w:r w:rsidR="00FE10AD">
        <w:rPr>
          <w:rStyle w:val="Strong"/>
        </w:rPr>
        <w:br/>
      </w:r>
      <w:r w:rsidR="00941EDD">
        <w:t>I bring 50 years of research experience with cohort studies. I began my career at the Division of Human Development of the Institute of Nutrition of Central America and Panama where for 5 years I was a member of the team that carried out the INCAP Longitudinal Study (1972-77). Later, at Stanford, Cornell, and then Emory, I led the follow-up studies carried out from 1988 until 2005 and have continued as co-investigator since. These efforts have resulted in many contributions to knowledge about the short and long-term consequences of nutrition in early life, findings that have had great influence worldwide on policies and programs, providing some of the critical evidence for the present focus on the first 1000 days of life.</w:t>
      </w:r>
      <w:r w:rsidR="00941EDD" w:rsidRPr="00804738">
        <w:t xml:space="preserve"> I am a </w:t>
      </w:r>
      <w:r w:rsidR="00941EDD">
        <w:t xml:space="preserve">founding </w:t>
      </w:r>
      <w:r w:rsidR="00941EDD" w:rsidRPr="00804738">
        <w:t>member of the COHORTS collaboration that brings together cohorts from Guatemala, Brazil, The Philippines, India</w:t>
      </w:r>
      <w:r w:rsidR="00941EDD">
        <w:t>,</w:t>
      </w:r>
      <w:r w:rsidR="00941EDD" w:rsidRPr="00804738">
        <w:t xml:space="preserve"> and South Africa. In Thailan</w:t>
      </w:r>
      <w:r w:rsidR="00941EDD">
        <w:t>d, I was involved in the follow-</w:t>
      </w:r>
      <w:r w:rsidR="00941EDD" w:rsidRPr="00804738">
        <w:t>up of a micronutrient intervention during infancy on cogniti</w:t>
      </w:r>
      <w:r w:rsidR="00941EDD">
        <w:t>ve development in school-age children; other relevant research includes assessing the long-term consequences of exposure to the Chinese famine of 1959-61 that was caused by Mao’s failed Great Leap Forward policies</w:t>
      </w:r>
      <w:r w:rsidR="00941EDD" w:rsidRPr="0061370A">
        <w:rPr>
          <w:i/>
        </w:rPr>
        <w:t>.</w:t>
      </w:r>
      <w:r w:rsidR="00941EDD" w:rsidRPr="0008523D">
        <w:t xml:space="preserve"> I </w:t>
      </w:r>
      <w:r w:rsidR="00941EDD">
        <w:t>am</w:t>
      </w:r>
      <w:r w:rsidR="00941EDD" w:rsidRPr="0008523D">
        <w:t xml:space="preserve"> also a co-investigator in </w:t>
      </w:r>
      <w:r w:rsidR="00941EDD">
        <w:t>birth cohort studies in</w:t>
      </w:r>
      <w:r w:rsidR="00941EDD" w:rsidRPr="0008523D">
        <w:t xml:space="preserve"> Vietnam </w:t>
      </w:r>
      <w:r w:rsidR="00941EDD">
        <w:t>and Mexico.</w:t>
      </w:r>
      <w:r w:rsidR="00941EDD" w:rsidRPr="0061370A">
        <w:rPr>
          <w:i/>
        </w:rPr>
        <w:t xml:space="preserve"> </w:t>
      </w:r>
      <w:r w:rsidR="00941EDD">
        <w:t xml:space="preserve">These experiences have given me the skills to formulate innovative research questions, conduct high-quality field studies, the methods to carry out rigorous analyses, and a commitment to identify the relevance of the findings for programs and policies. </w:t>
      </w:r>
    </w:p>
    <w:p w14:paraId="0655BF83" w14:textId="59C55CF9" w:rsidR="00941EDD" w:rsidRPr="00DB7C17" w:rsidRDefault="00941EDD" w:rsidP="00941EDD">
      <w:pPr>
        <w:spacing w:after="120"/>
        <w:rPr>
          <w:rFonts w:cs="Arial"/>
          <w:szCs w:val="22"/>
        </w:rPr>
      </w:pPr>
      <w:r>
        <w:rPr>
          <w:b/>
        </w:rPr>
        <w:br/>
      </w:r>
      <w:r w:rsidR="002C51BC" w:rsidRPr="00A128A0">
        <w:rPr>
          <w:rStyle w:val="Strong"/>
        </w:rPr>
        <w:t>B.</w:t>
      </w:r>
      <w:r w:rsidR="002C51BC" w:rsidRPr="00A128A0">
        <w:rPr>
          <w:rStyle w:val="Strong"/>
        </w:rPr>
        <w:tab/>
        <w:t>Positions</w:t>
      </w:r>
      <w:r w:rsidR="00CF6FAD">
        <w:rPr>
          <w:rStyle w:val="Strong"/>
        </w:rPr>
        <w:t>, Scientific Appointments,</w:t>
      </w:r>
      <w:r w:rsidR="002C51BC" w:rsidRPr="00A128A0">
        <w:rPr>
          <w:rStyle w:val="Strong"/>
        </w:rPr>
        <w:t xml:space="preserve"> and Honors</w:t>
      </w:r>
      <w:r>
        <w:rPr>
          <w:rStyle w:val="Strong"/>
        </w:rPr>
        <w:br/>
      </w:r>
      <w:r w:rsidRPr="00DB7C17">
        <w:rPr>
          <w:rFonts w:cs="Arial"/>
          <w:b/>
          <w:szCs w:val="22"/>
        </w:rPr>
        <w:t>Professional Positions:</w:t>
      </w:r>
      <w:r w:rsidRPr="00DB7C17">
        <w:rPr>
          <w:rFonts w:cs="Arial"/>
          <w:szCs w:val="22"/>
        </w:rPr>
        <w:t xml:space="preserve">  </w:t>
      </w:r>
      <w:r w:rsidRPr="00DB7C17">
        <w:rPr>
          <w:rFonts w:cs="Arial"/>
          <w:i/>
          <w:szCs w:val="22"/>
        </w:rPr>
        <w:t>Scientist</w:t>
      </w:r>
      <w:r w:rsidRPr="00DB7C17">
        <w:rPr>
          <w:rFonts w:cs="Arial"/>
          <w:szCs w:val="22"/>
        </w:rPr>
        <w:t xml:space="preserve">, Institute of Nutrition of Central America and Panama (INCAP) (1972-77), PAHO/WHO, Guatemala; </w:t>
      </w:r>
      <w:r w:rsidRPr="00DB7C17">
        <w:rPr>
          <w:rFonts w:cs="Arial"/>
          <w:i/>
          <w:szCs w:val="22"/>
        </w:rPr>
        <w:t>Associate Professor,</w:t>
      </w:r>
      <w:r w:rsidRPr="00DB7C17">
        <w:rPr>
          <w:rFonts w:cs="Arial"/>
          <w:szCs w:val="22"/>
        </w:rPr>
        <w:t xml:space="preserve"> Food Research Institute, Stanford University (1977-87); </w:t>
      </w:r>
      <w:r w:rsidRPr="00DB7C17">
        <w:rPr>
          <w:rFonts w:cs="Arial"/>
          <w:i/>
          <w:szCs w:val="22"/>
        </w:rPr>
        <w:t>Visiting Associate Professor</w:t>
      </w:r>
      <w:r w:rsidRPr="00DB7C17">
        <w:rPr>
          <w:rFonts w:cs="Arial"/>
          <w:szCs w:val="22"/>
        </w:rPr>
        <w:t xml:space="preserve">, Division of Nutritional Sciences, Cornell University (1983-84); </w:t>
      </w:r>
      <w:r w:rsidRPr="00DB7C17">
        <w:rPr>
          <w:rFonts w:cs="Arial"/>
          <w:i/>
          <w:szCs w:val="22"/>
        </w:rPr>
        <w:t>Professor of Nutrition,</w:t>
      </w:r>
      <w:r w:rsidRPr="00DB7C17">
        <w:rPr>
          <w:rFonts w:cs="Arial"/>
          <w:szCs w:val="22"/>
        </w:rPr>
        <w:t xml:space="preserve"> Food Research Institute, Stanford University (1987-91); </w:t>
      </w:r>
      <w:r w:rsidRPr="00DB7C17">
        <w:rPr>
          <w:rFonts w:cs="Arial"/>
          <w:i/>
          <w:szCs w:val="22"/>
        </w:rPr>
        <w:t>Leading Professor</w:t>
      </w:r>
      <w:r w:rsidRPr="00DB7C17">
        <w:rPr>
          <w:rFonts w:cs="Arial"/>
          <w:szCs w:val="22"/>
        </w:rPr>
        <w:t xml:space="preserve">, Division of Nutritional Sciences, Cornell University (1991-93); </w:t>
      </w:r>
      <w:r w:rsidRPr="00DB7C17">
        <w:rPr>
          <w:rFonts w:cs="Arial"/>
          <w:i/>
          <w:szCs w:val="22"/>
        </w:rPr>
        <w:t>Chair,</w:t>
      </w:r>
      <w:r w:rsidRPr="00DB7C17">
        <w:rPr>
          <w:rFonts w:cs="Arial"/>
          <w:szCs w:val="22"/>
        </w:rPr>
        <w:t xml:space="preserve"> Hube</w:t>
      </w:r>
      <w:r>
        <w:rPr>
          <w:rFonts w:cs="Arial"/>
          <w:szCs w:val="22"/>
        </w:rPr>
        <w:t xml:space="preserve">rt Department of Global Health, </w:t>
      </w:r>
      <w:r w:rsidRPr="00DB7C17">
        <w:rPr>
          <w:rFonts w:cs="Arial"/>
          <w:szCs w:val="22"/>
        </w:rPr>
        <w:t xml:space="preserve">The Rollins School of Public Health of Emory University (1997-2009). </w:t>
      </w:r>
      <w:r w:rsidRPr="00DB7C17">
        <w:rPr>
          <w:rFonts w:cs="Arial"/>
          <w:i/>
          <w:szCs w:val="22"/>
        </w:rPr>
        <w:t>Robert W. Woodruff Professor of International Nutrition,</w:t>
      </w:r>
      <w:r w:rsidRPr="00DB7C17">
        <w:rPr>
          <w:rFonts w:cs="Arial"/>
          <w:szCs w:val="22"/>
        </w:rPr>
        <w:t xml:space="preserve"> Hubert Department of Global Health, The Rollins School of Public Health of Emory University (1993-Present); </w:t>
      </w:r>
      <w:r w:rsidRPr="00DB7C17">
        <w:rPr>
          <w:rFonts w:cs="Arial"/>
          <w:i/>
          <w:szCs w:val="22"/>
        </w:rPr>
        <w:t>Senior Advisor</w:t>
      </w:r>
      <w:r w:rsidRPr="00DB7C17">
        <w:rPr>
          <w:rFonts w:cs="Arial"/>
          <w:szCs w:val="22"/>
        </w:rPr>
        <w:t>, Global Health Institute, Emory University (2009-Present)</w:t>
      </w:r>
      <w:r>
        <w:rPr>
          <w:rFonts w:cs="Arial"/>
          <w:szCs w:val="22"/>
        </w:rPr>
        <w:t>, Visiting Professor, University of Granada, Spain (2014)</w:t>
      </w:r>
      <w:r w:rsidRPr="00DB7C17">
        <w:rPr>
          <w:rFonts w:cs="Arial"/>
          <w:szCs w:val="22"/>
        </w:rPr>
        <w:t>.</w:t>
      </w:r>
    </w:p>
    <w:p w14:paraId="22A0A5EF" w14:textId="77777777" w:rsidR="00941EDD" w:rsidRPr="00CA5BB0" w:rsidRDefault="00941EDD" w:rsidP="00941EDD">
      <w:pPr>
        <w:spacing w:after="120"/>
        <w:rPr>
          <w:rFonts w:cs="Arial"/>
          <w:szCs w:val="22"/>
        </w:rPr>
      </w:pPr>
      <w:r w:rsidRPr="00EE4BFB">
        <w:rPr>
          <w:rFonts w:cs="Arial"/>
          <w:b/>
          <w:szCs w:val="22"/>
        </w:rPr>
        <w:t>Current National and International Committees and Appointments</w:t>
      </w:r>
      <w:r>
        <w:rPr>
          <w:rFonts w:cs="Arial"/>
          <w:b/>
          <w:szCs w:val="22"/>
        </w:rPr>
        <w:t xml:space="preserve">: </w:t>
      </w:r>
      <w:r w:rsidRPr="00CA5BB0">
        <w:rPr>
          <w:rFonts w:cs="Arial"/>
          <w:szCs w:val="22"/>
        </w:rPr>
        <w:t xml:space="preserve">Chair, External Advisory Committee, INCAP; Editorial Boards: </w:t>
      </w:r>
      <w:proofErr w:type="spellStart"/>
      <w:r w:rsidRPr="00CA5BB0">
        <w:rPr>
          <w:rFonts w:cs="Arial"/>
          <w:szCs w:val="22"/>
        </w:rPr>
        <w:t>Salud</w:t>
      </w:r>
      <w:proofErr w:type="spellEnd"/>
      <w:r w:rsidRPr="00CA5BB0">
        <w:rPr>
          <w:rFonts w:cs="Arial"/>
          <w:szCs w:val="22"/>
        </w:rPr>
        <w:t xml:space="preserve"> </w:t>
      </w:r>
      <w:proofErr w:type="spellStart"/>
      <w:r w:rsidRPr="00CA5BB0">
        <w:rPr>
          <w:rFonts w:cs="Arial"/>
          <w:szCs w:val="22"/>
        </w:rPr>
        <w:t>Pública</w:t>
      </w:r>
      <w:proofErr w:type="spellEnd"/>
      <w:r w:rsidRPr="00CA5BB0">
        <w:rPr>
          <w:rFonts w:cs="Arial"/>
          <w:szCs w:val="22"/>
        </w:rPr>
        <w:t xml:space="preserve"> de México, Food and Nutrition Bulletin, </w:t>
      </w:r>
      <w:proofErr w:type="spellStart"/>
      <w:r w:rsidRPr="00CA5BB0">
        <w:rPr>
          <w:rFonts w:cs="Arial"/>
          <w:szCs w:val="22"/>
        </w:rPr>
        <w:t>Archivos</w:t>
      </w:r>
      <w:proofErr w:type="spellEnd"/>
      <w:r w:rsidRPr="00CA5BB0">
        <w:rPr>
          <w:rFonts w:cs="Arial"/>
          <w:szCs w:val="22"/>
        </w:rPr>
        <w:t xml:space="preserve"> </w:t>
      </w:r>
      <w:proofErr w:type="spellStart"/>
      <w:r w:rsidRPr="00CA5BB0">
        <w:rPr>
          <w:rFonts w:cs="Arial"/>
          <w:szCs w:val="22"/>
        </w:rPr>
        <w:t>Latinoamericanos</w:t>
      </w:r>
      <w:proofErr w:type="spellEnd"/>
      <w:r w:rsidRPr="00CA5BB0">
        <w:rPr>
          <w:rFonts w:cs="Arial"/>
          <w:szCs w:val="22"/>
        </w:rPr>
        <w:t xml:space="preserve"> de </w:t>
      </w:r>
      <w:proofErr w:type="spellStart"/>
      <w:r w:rsidRPr="00CA5BB0">
        <w:rPr>
          <w:rFonts w:cs="Arial"/>
          <w:szCs w:val="22"/>
        </w:rPr>
        <w:t>Nutrición</w:t>
      </w:r>
      <w:proofErr w:type="spellEnd"/>
      <w:r w:rsidRPr="00CA5BB0">
        <w:rPr>
          <w:rFonts w:cs="Arial"/>
          <w:szCs w:val="22"/>
        </w:rPr>
        <w:t xml:space="preserve">; Board Member, Executive Management Team, Food Fortification Initiative (2010- ); Trustee, Helen Keller International (2011- ). </w:t>
      </w:r>
    </w:p>
    <w:p w14:paraId="080A9526" w14:textId="77777777" w:rsidR="00941EDD" w:rsidRDefault="00941EDD" w:rsidP="00941EDD">
      <w:pPr>
        <w:rPr>
          <w:rFonts w:cs="Arial"/>
          <w:szCs w:val="22"/>
        </w:rPr>
      </w:pPr>
      <w:r w:rsidRPr="00DB7C17">
        <w:rPr>
          <w:rFonts w:cs="Arial"/>
          <w:b/>
          <w:szCs w:val="22"/>
        </w:rPr>
        <w:t xml:space="preserve">Honors:  </w:t>
      </w:r>
      <w:r w:rsidRPr="00DB7C17">
        <w:rPr>
          <w:rFonts w:cs="Arial"/>
          <w:bCs/>
          <w:szCs w:val="22"/>
        </w:rPr>
        <w:t>McCollum International Lectureship Award</w:t>
      </w:r>
      <w:r>
        <w:rPr>
          <w:rFonts w:cs="Arial"/>
          <w:bCs/>
          <w:szCs w:val="22"/>
        </w:rPr>
        <w:t>, American Society For Nutrition</w:t>
      </w:r>
      <w:r w:rsidRPr="00DB7C17">
        <w:rPr>
          <w:rFonts w:cs="Arial"/>
          <w:bCs/>
          <w:szCs w:val="22"/>
        </w:rPr>
        <w:t xml:space="preserve"> (1999); The Fifth Distinguished Faculty Lecture, Emory University (2000); </w:t>
      </w:r>
      <w:r>
        <w:rPr>
          <w:rFonts w:cs="Arial"/>
          <w:bCs/>
          <w:szCs w:val="22"/>
        </w:rPr>
        <w:t xml:space="preserve">US </w:t>
      </w:r>
      <w:r w:rsidRPr="00DB7C17">
        <w:rPr>
          <w:rFonts w:cs="Arial"/>
          <w:bCs/>
          <w:szCs w:val="22"/>
        </w:rPr>
        <w:t>National Academy</w:t>
      </w:r>
      <w:r>
        <w:rPr>
          <w:rFonts w:cs="Arial"/>
          <w:bCs/>
          <w:szCs w:val="22"/>
        </w:rPr>
        <w:t xml:space="preserve"> </w:t>
      </w:r>
      <w:r w:rsidRPr="00DB7C17">
        <w:rPr>
          <w:rFonts w:cs="Arial"/>
          <w:bCs/>
          <w:szCs w:val="22"/>
        </w:rPr>
        <w:t xml:space="preserve">of Medicine (elected 2002); </w:t>
      </w:r>
      <w:r w:rsidRPr="00DB7C17">
        <w:rPr>
          <w:rFonts w:cs="Arial"/>
          <w:szCs w:val="22"/>
        </w:rPr>
        <w:t>Thomas Sellers Award</w:t>
      </w:r>
      <w:r>
        <w:rPr>
          <w:rFonts w:cs="Arial"/>
          <w:szCs w:val="22"/>
        </w:rPr>
        <w:t xml:space="preserve"> (for mentoring)</w:t>
      </w:r>
      <w:r w:rsidRPr="00DB7C17">
        <w:rPr>
          <w:rFonts w:cs="Arial"/>
          <w:szCs w:val="22"/>
        </w:rPr>
        <w:t xml:space="preserve">, Rollins School of Public Health, Emory University (2003); </w:t>
      </w:r>
      <w:r w:rsidRPr="00804656">
        <w:rPr>
          <w:rFonts w:cs="Arial"/>
          <w:szCs w:val="22"/>
        </w:rPr>
        <w:t>Lifetime Achievements in Global Nutrition Research Award</w:t>
      </w:r>
      <w:r>
        <w:rPr>
          <w:rFonts w:cs="Arial"/>
          <w:szCs w:val="22"/>
        </w:rPr>
        <w:t xml:space="preserve">, American Society For Nutrition </w:t>
      </w:r>
      <w:r w:rsidRPr="00DB7C17">
        <w:rPr>
          <w:rFonts w:cs="Arial"/>
          <w:bCs/>
          <w:szCs w:val="22"/>
        </w:rPr>
        <w:t xml:space="preserve">(2003); Fulbright Senior </w:t>
      </w:r>
      <w:r w:rsidRPr="00DB7C17">
        <w:rPr>
          <w:rFonts w:cs="Arial"/>
          <w:bCs/>
          <w:szCs w:val="22"/>
        </w:rPr>
        <w:lastRenderedPageBreak/>
        <w:t>Scholar, Mahidol University, Thailand (2005)</w:t>
      </w:r>
      <w:r w:rsidRPr="00DB7C17">
        <w:rPr>
          <w:rFonts w:cs="Arial"/>
          <w:szCs w:val="22"/>
        </w:rPr>
        <w:t xml:space="preserve">; </w:t>
      </w:r>
      <w:r>
        <w:rPr>
          <w:rFonts w:cs="Arial"/>
          <w:szCs w:val="22"/>
        </w:rPr>
        <w:t xml:space="preserve">Research </w:t>
      </w:r>
      <w:r w:rsidRPr="00DB7C17">
        <w:rPr>
          <w:rFonts w:cs="Arial"/>
          <w:szCs w:val="22"/>
        </w:rPr>
        <w:t>Achievement Award, Institute of Nutrition of Ce</w:t>
      </w:r>
      <w:r>
        <w:rPr>
          <w:rFonts w:cs="Arial"/>
          <w:szCs w:val="22"/>
        </w:rPr>
        <w:t>ntral America and Panama (2006)</w:t>
      </w:r>
      <w:r w:rsidRPr="00DB7C17">
        <w:rPr>
          <w:rFonts w:cs="Arial"/>
          <w:szCs w:val="22"/>
        </w:rPr>
        <w:t>; Marion V. Creekmore Award for Internationali</w:t>
      </w:r>
      <w:r>
        <w:rPr>
          <w:rFonts w:cs="Arial"/>
          <w:szCs w:val="22"/>
        </w:rPr>
        <w:t xml:space="preserve">zation, Emory University (2008); Recognition Award, Centro de </w:t>
      </w:r>
      <w:proofErr w:type="spellStart"/>
      <w:r>
        <w:rPr>
          <w:rFonts w:cs="Arial"/>
          <w:szCs w:val="22"/>
        </w:rPr>
        <w:t>Investigación</w:t>
      </w:r>
      <w:proofErr w:type="spellEnd"/>
      <w:r>
        <w:rPr>
          <w:rFonts w:cs="Arial"/>
          <w:szCs w:val="22"/>
        </w:rPr>
        <w:t xml:space="preserve"> </w:t>
      </w:r>
      <w:proofErr w:type="spellStart"/>
      <w:r>
        <w:rPr>
          <w:rFonts w:cs="Arial"/>
          <w:szCs w:val="22"/>
        </w:rPr>
        <w:t>en</w:t>
      </w:r>
      <w:proofErr w:type="spellEnd"/>
      <w:r>
        <w:rPr>
          <w:rFonts w:cs="Arial"/>
          <w:szCs w:val="22"/>
        </w:rPr>
        <w:t xml:space="preserve"> </w:t>
      </w:r>
      <w:proofErr w:type="spellStart"/>
      <w:r>
        <w:rPr>
          <w:rFonts w:cs="Arial"/>
          <w:szCs w:val="22"/>
        </w:rPr>
        <w:t>Nutrición</w:t>
      </w:r>
      <w:proofErr w:type="spellEnd"/>
      <w:r>
        <w:rPr>
          <w:rFonts w:cs="Arial"/>
          <w:szCs w:val="22"/>
        </w:rPr>
        <w:t xml:space="preserve"> y </w:t>
      </w:r>
      <w:proofErr w:type="spellStart"/>
      <w:r>
        <w:rPr>
          <w:rFonts w:cs="Arial"/>
          <w:szCs w:val="22"/>
        </w:rPr>
        <w:t>Salud</w:t>
      </w:r>
      <w:proofErr w:type="spellEnd"/>
      <w:r>
        <w:rPr>
          <w:rFonts w:cs="Arial"/>
          <w:szCs w:val="22"/>
        </w:rPr>
        <w:t xml:space="preserve">, National Institute of Public Health, Mexico (2010); Carlos Slim Award for Lifetime Achievements in Research on Health (2011); Achievement Award from the President of Honduras (2012); Gopalan Oration and Gold Medal Award, Nutrition Society of India (2012); Fellow of the American Society For Nutrition (elected 2013); Academia Española </w:t>
      </w:r>
      <w:r w:rsidRPr="00677D1A">
        <w:rPr>
          <w:rFonts w:cs="Arial"/>
          <w:szCs w:val="22"/>
        </w:rPr>
        <w:t xml:space="preserve">de </w:t>
      </w:r>
      <w:proofErr w:type="spellStart"/>
      <w:r w:rsidRPr="00677D1A">
        <w:rPr>
          <w:rFonts w:cs="Arial"/>
          <w:szCs w:val="22"/>
        </w:rPr>
        <w:t>Nutrición</w:t>
      </w:r>
      <w:proofErr w:type="spellEnd"/>
      <w:r>
        <w:rPr>
          <w:rFonts w:cs="Arial"/>
          <w:szCs w:val="22"/>
        </w:rPr>
        <w:t xml:space="preserve"> (elected 2013); Raymond Pearl Memorial Lecture, Human Biology Association (2016). </w:t>
      </w:r>
    </w:p>
    <w:p w14:paraId="2AB7A0F5" w14:textId="190885AF" w:rsidR="002C51BC" w:rsidRPr="00A128A0" w:rsidRDefault="002C51BC" w:rsidP="00941EDD">
      <w:pPr>
        <w:rPr>
          <w:rStyle w:val="Strong"/>
        </w:rPr>
      </w:pPr>
    </w:p>
    <w:p w14:paraId="49E97152" w14:textId="038CA80F" w:rsidR="00941EDD" w:rsidRDefault="002C51BC" w:rsidP="00941EDD">
      <w:pPr>
        <w:pStyle w:val="DataField11pt-Single"/>
      </w:pPr>
      <w:r w:rsidRPr="00A128A0">
        <w:rPr>
          <w:rStyle w:val="Strong"/>
        </w:rPr>
        <w:t>C.</w:t>
      </w:r>
      <w:r w:rsidRPr="00A128A0">
        <w:rPr>
          <w:rStyle w:val="Strong"/>
        </w:rPr>
        <w:tab/>
        <w:t>Contributions to Science</w:t>
      </w:r>
      <w:r w:rsidR="00FE10AD">
        <w:rPr>
          <w:rStyle w:val="Strong"/>
        </w:rPr>
        <w:br/>
      </w:r>
      <w:r w:rsidR="00941EDD" w:rsidRPr="003C2714">
        <w:rPr>
          <w:b/>
        </w:rPr>
        <w:t xml:space="preserve">Policies and programs to improve maternal </w:t>
      </w:r>
      <w:r w:rsidR="00941EDD">
        <w:rPr>
          <w:b/>
        </w:rPr>
        <w:t xml:space="preserve">and child </w:t>
      </w:r>
      <w:r w:rsidR="00941EDD" w:rsidRPr="003C2714">
        <w:rPr>
          <w:b/>
        </w:rPr>
        <w:t>nutrition in poor countries</w:t>
      </w:r>
      <w:r w:rsidR="00941EDD">
        <w:rPr>
          <w:b/>
        </w:rPr>
        <w:t xml:space="preserve">: </w:t>
      </w:r>
      <w:r w:rsidR="00941EDD" w:rsidRPr="004C14F0">
        <w:t>M</w:t>
      </w:r>
      <w:r w:rsidR="00941EDD">
        <w:t>artorell</w:t>
      </w:r>
      <w:r w:rsidR="00941EDD" w:rsidRPr="003C2714">
        <w:t xml:space="preserve"> has devoted his career to advance research, </w:t>
      </w:r>
      <w:proofErr w:type="gramStart"/>
      <w:r w:rsidR="00941EDD" w:rsidRPr="003C2714">
        <w:t>policies</w:t>
      </w:r>
      <w:proofErr w:type="gramEnd"/>
      <w:r w:rsidR="00941EDD" w:rsidRPr="003C2714">
        <w:t xml:space="preserve"> and programs regarding maternal and child nutrition. His achievements were recognized by The Lancet, which published a profile entitled “Reynaldo Martorell: driving force in maternal and child nutrition” (August 3, 2013). He is a coauthor of the 2008 and 2013 Lancet series on maternal and child nutrition that estimated the prevalence and short and long-term consequences of the major nutritional problems affecting low and middle-income countries; both series also presented recommendations for policies, </w:t>
      </w:r>
      <w:proofErr w:type="gramStart"/>
      <w:r w:rsidR="00941EDD" w:rsidRPr="003C2714">
        <w:t>programs</w:t>
      </w:r>
      <w:proofErr w:type="gramEnd"/>
      <w:r w:rsidR="00941EDD" w:rsidRPr="003C2714">
        <w:t xml:space="preserve"> and key interventions to address these problems. He led a team that recently completed a large-scale landscape analysis </w:t>
      </w:r>
      <w:r w:rsidR="00941EDD">
        <w:t xml:space="preserve">of maternal nutrition </w:t>
      </w:r>
      <w:r w:rsidR="00941EDD" w:rsidRPr="003C2714">
        <w:t xml:space="preserve">for the Bill and Melinda Gates Foundation that included systematic reviews of the scientific evidence on efficacy and effectiveness of nutrition interventions prior to conception and during pregnancy as well as field work in Nigeria, </w:t>
      </w:r>
      <w:proofErr w:type="gramStart"/>
      <w:r w:rsidR="00941EDD" w:rsidRPr="003C2714">
        <w:t>Ethiopia</w:t>
      </w:r>
      <w:proofErr w:type="gramEnd"/>
      <w:r w:rsidR="00941EDD" w:rsidRPr="003C2714">
        <w:t xml:space="preserve"> and India to assess program implementation barr</w:t>
      </w:r>
      <w:r w:rsidR="00941EDD">
        <w:t>iers and opportunities. He led the Emory team that provided</w:t>
      </w:r>
      <w:r w:rsidR="00941EDD" w:rsidRPr="003C2714">
        <w:t xml:space="preserve"> technical support in nutrition to CARE and the government of Bihar, India in an ambitious pr</w:t>
      </w:r>
      <w:r w:rsidR="00941EDD">
        <w:t xml:space="preserve">oject that sought to </w:t>
      </w:r>
      <w:r w:rsidR="00941EDD" w:rsidRPr="003C2714">
        <w:t>improve the coverage and quality of services to mothers and children during the first 1000 days; innovations developed in 8 districts are being scaled up to the entire s</w:t>
      </w:r>
      <w:r w:rsidR="00941EDD">
        <w:t>tate (over 100 million people)</w:t>
      </w:r>
      <w:r w:rsidR="00941EDD" w:rsidRPr="003C2714">
        <w:t>.</w:t>
      </w:r>
    </w:p>
    <w:p w14:paraId="1BAD2551" w14:textId="77777777" w:rsidR="00941EDD" w:rsidRPr="00EE3E89" w:rsidRDefault="00941EDD" w:rsidP="00941EDD">
      <w:pPr>
        <w:pStyle w:val="ListParagraph"/>
        <w:numPr>
          <w:ilvl w:val="0"/>
          <w:numId w:val="21"/>
        </w:numPr>
        <w:contextualSpacing/>
        <w:jc w:val="both"/>
      </w:pPr>
      <w:r w:rsidRPr="00EE3E89">
        <w:t xml:space="preserve">Victora CG, Adair L, Fall C, Hallal PC, </w:t>
      </w:r>
      <w:r w:rsidRPr="0040677B">
        <w:rPr>
          <w:b/>
        </w:rPr>
        <w:t>Martorell R</w:t>
      </w:r>
      <w:r w:rsidRPr="00EE3E89">
        <w:t xml:space="preserve">, Richter L, Sachdev HS, for the Maternal and Child Undernutrition Study Group.  Maternal and child undernutrition 2: Consequences for adult health and human capital.  </w:t>
      </w:r>
      <w:r w:rsidRPr="004C14F0">
        <w:rPr>
          <w:i/>
        </w:rPr>
        <w:t>Lancet</w:t>
      </w:r>
      <w:r w:rsidRPr="00EE3E89">
        <w:t xml:space="preserve"> 371(9609):3</w:t>
      </w:r>
      <w:r>
        <w:t>40-57, 2008 January 26. (PMID: 18206223</w:t>
      </w:r>
      <w:r w:rsidRPr="00EE3E89">
        <w:t>)</w:t>
      </w:r>
    </w:p>
    <w:p w14:paraId="5C7D55B0" w14:textId="77777777" w:rsidR="00941EDD" w:rsidRPr="00EE3E89" w:rsidRDefault="00941EDD" w:rsidP="00941EDD">
      <w:pPr>
        <w:pStyle w:val="ListParagraph"/>
        <w:numPr>
          <w:ilvl w:val="0"/>
          <w:numId w:val="21"/>
        </w:numPr>
        <w:contextualSpacing/>
        <w:jc w:val="both"/>
      </w:pPr>
      <w:r w:rsidRPr="00EE3E89">
        <w:t xml:space="preserve">Black E. R, Victoria C, Walker S, Bhutta Z, Christian P, De Onis M, Ezzati M, Grantham-McGregor S, Katz J, </w:t>
      </w:r>
      <w:r w:rsidRPr="0040677B">
        <w:rPr>
          <w:b/>
        </w:rPr>
        <w:t>Martorell R</w:t>
      </w:r>
      <w:r w:rsidRPr="00EE3E89">
        <w:t xml:space="preserve">, Uauy R, and the Maternal and Child Nutrition Study Group. Maternal and Child Undernutrition and Overweight in Low-income and Middle-income Countries. </w:t>
      </w:r>
      <w:r w:rsidRPr="004C14F0">
        <w:rPr>
          <w:i/>
        </w:rPr>
        <w:t>The Lancet</w:t>
      </w:r>
      <w:r w:rsidRPr="00EE3E89">
        <w:t xml:space="preserve"> 382(9890):427-451, 2013 August. (PMID: 23746772)</w:t>
      </w:r>
    </w:p>
    <w:p w14:paraId="4F4D22CB" w14:textId="77777777" w:rsidR="00941EDD" w:rsidRPr="00F621E4" w:rsidRDefault="00941EDD" w:rsidP="00941EDD">
      <w:pPr>
        <w:pStyle w:val="ListParagraph"/>
        <w:numPr>
          <w:ilvl w:val="0"/>
          <w:numId w:val="21"/>
        </w:numPr>
        <w:contextualSpacing/>
        <w:jc w:val="both"/>
        <w:rPr>
          <w:rFonts w:ascii="Times New Roman" w:hAnsi="Times New Roman"/>
          <w:szCs w:val="22"/>
          <w:lang w:val="en"/>
        </w:rPr>
      </w:pPr>
      <w:r>
        <w:rPr>
          <w:lang w:val="en"/>
        </w:rPr>
        <w:t xml:space="preserve">Imhoff-Kunsch B, </w:t>
      </w:r>
      <w:r w:rsidRPr="00F854D2">
        <w:rPr>
          <w:b/>
          <w:lang w:val="en"/>
        </w:rPr>
        <w:t>Martorell R</w:t>
      </w:r>
      <w:r>
        <w:rPr>
          <w:lang w:val="en"/>
        </w:rPr>
        <w:t xml:space="preserve"> (eds) Special Issue. Improving Maternal, Newborn, and Child Health Outcomes through Better Designed Policies and Programs that Enhance the Nutrition of Women</w:t>
      </w:r>
      <w:r>
        <w:rPr>
          <w:szCs w:val="22"/>
        </w:rPr>
        <w:t>.</w:t>
      </w:r>
      <w:r w:rsidRPr="00F621E4">
        <w:rPr>
          <w:szCs w:val="22"/>
        </w:rPr>
        <w:t xml:space="preserve"> </w:t>
      </w:r>
      <w:proofErr w:type="spellStart"/>
      <w:r w:rsidRPr="00E50FCB">
        <w:rPr>
          <w:rFonts w:cs="Arial"/>
          <w:i/>
          <w:szCs w:val="22"/>
          <w:lang w:val="en"/>
        </w:rPr>
        <w:t>Paediatr</w:t>
      </w:r>
      <w:proofErr w:type="spellEnd"/>
      <w:r w:rsidRPr="00E50FCB">
        <w:rPr>
          <w:rFonts w:cs="Arial"/>
          <w:i/>
          <w:szCs w:val="22"/>
          <w:lang w:val="en"/>
        </w:rPr>
        <w:t xml:space="preserve"> Perinat Epidemiol</w:t>
      </w:r>
      <w:r w:rsidRPr="00F621E4">
        <w:rPr>
          <w:rFonts w:cs="Arial"/>
          <w:szCs w:val="22"/>
          <w:lang w:val="en"/>
        </w:rPr>
        <w:t xml:space="preserve"> 26(S1):1-3</w:t>
      </w:r>
      <w:r>
        <w:rPr>
          <w:rFonts w:cs="Arial"/>
          <w:szCs w:val="22"/>
          <w:lang w:val="en"/>
        </w:rPr>
        <w:t>25</w:t>
      </w:r>
      <w:r w:rsidRPr="00F621E4">
        <w:rPr>
          <w:rFonts w:cs="Arial"/>
          <w:szCs w:val="22"/>
          <w:lang w:val="en"/>
        </w:rPr>
        <w:t>, 2012 July. (20 articles)</w:t>
      </w:r>
      <w:r>
        <w:rPr>
          <w:rFonts w:cs="Arial"/>
          <w:szCs w:val="22"/>
          <w:lang w:val="en"/>
        </w:rPr>
        <w:t xml:space="preserve"> </w:t>
      </w:r>
    </w:p>
    <w:p w14:paraId="5D3CA820" w14:textId="77777777" w:rsidR="00941EDD" w:rsidRDefault="00941EDD" w:rsidP="00941EDD">
      <w:pPr>
        <w:pStyle w:val="ListParagraph"/>
        <w:numPr>
          <w:ilvl w:val="0"/>
          <w:numId w:val="21"/>
        </w:numPr>
        <w:contextualSpacing/>
        <w:jc w:val="both"/>
        <w:rPr>
          <w:rFonts w:cs="Arial"/>
        </w:rPr>
      </w:pPr>
      <w:r w:rsidRPr="00C676A1">
        <w:rPr>
          <w:rFonts w:eastAsia="Calibri" w:cs="Arial"/>
          <w:bCs/>
          <w:szCs w:val="22"/>
        </w:rPr>
        <w:t xml:space="preserve">Mason JB, Saldanha LS, </w:t>
      </w:r>
      <w:r w:rsidRPr="00C676A1">
        <w:rPr>
          <w:rFonts w:eastAsia="Calibri" w:cs="Arial"/>
          <w:b/>
          <w:bCs/>
          <w:szCs w:val="22"/>
        </w:rPr>
        <w:t>Martorell R</w:t>
      </w:r>
      <w:r w:rsidRPr="00C676A1">
        <w:rPr>
          <w:rFonts w:eastAsia="Calibri" w:cs="Arial"/>
          <w:bCs/>
          <w:szCs w:val="22"/>
        </w:rPr>
        <w:t xml:space="preserve"> (eds). </w:t>
      </w:r>
      <w:r w:rsidRPr="00E50FCB">
        <w:rPr>
          <w:rFonts w:cs="Arial"/>
        </w:rPr>
        <w:t>Opportunities to improve women’s nutrition and maternal, neo</w:t>
      </w:r>
      <w:r>
        <w:rPr>
          <w:rFonts w:cs="Arial"/>
        </w:rPr>
        <w:t xml:space="preserve">natal and child health outcomes.  </w:t>
      </w:r>
      <w:r w:rsidRPr="00E50FCB">
        <w:rPr>
          <w:rFonts w:cs="Arial"/>
          <w:i/>
        </w:rPr>
        <w:t xml:space="preserve">Food </w:t>
      </w:r>
      <w:proofErr w:type="spellStart"/>
      <w:r w:rsidRPr="00E50FCB">
        <w:rPr>
          <w:rFonts w:cs="Arial"/>
          <w:i/>
        </w:rPr>
        <w:t>Nutr</w:t>
      </w:r>
      <w:proofErr w:type="spellEnd"/>
      <w:r w:rsidRPr="00E50FCB">
        <w:rPr>
          <w:rFonts w:cs="Arial"/>
          <w:i/>
        </w:rPr>
        <w:t xml:space="preserve"> Bull</w:t>
      </w:r>
      <w:r>
        <w:rPr>
          <w:rFonts w:cs="Arial"/>
        </w:rPr>
        <w:t xml:space="preserve"> 33(S2):3-104, 2012. (7 articles).</w:t>
      </w:r>
    </w:p>
    <w:p w14:paraId="7B0AC06B" w14:textId="77777777" w:rsidR="00941EDD" w:rsidRPr="004B2421" w:rsidRDefault="00941EDD" w:rsidP="00941EDD">
      <w:pPr>
        <w:jc w:val="both"/>
      </w:pPr>
      <w:r w:rsidRPr="004C7F67">
        <w:rPr>
          <w:b/>
        </w:rPr>
        <w:t>The importance of nutrition during the first 1000 days (pregnancy and the first 2 years of life).</w:t>
      </w:r>
      <w:r>
        <w:rPr>
          <w:b/>
        </w:rPr>
        <w:t xml:space="preserve"> </w:t>
      </w:r>
      <w:r w:rsidRPr="004B2421">
        <w:t>Martorell</w:t>
      </w:r>
      <w:r>
        <w:t xml:space="preserve">’s work has been critical for advancing the notion that the first 1000 days (pregnancy and the first 2 years) represent a vulnerable phase during which poor health and nutrition have profound short and long-term effects. </w:t>
      </w:r>
      <w:r w:rsidRPr="004B2421">
        <w:t xml:space="preserve"> </w:t>
      </w:r>
      <w:r>
        <w:t xml:space="preserve">He led the many follow up studies of a community randomized intervention study in Guatemala that was carried out from 1969-77, except for the current follow-up which is led by his colleague Aryeh Stein. These follow-up studies have demonstrated that the nutrition intervention improved adult human capital measures such as schooling, </w:t>
      </w:r>
      <w:proofErr w:type="gramStart"/>
      <w:r>
        <w:t>intelligence</w:t>
      </w:r>
      <w:proofErr w:type="gramEnd"/>
      <w:r>
        <w:t xml:space="preserve"> and wages. Work on this theme has also extended to studies of the long-term consequences of the 1959-61 famine in China, the largest in human history, which may have killed 30 to 60 million people. </w:t>
      </w:r>
    </w:p>
    <w:p w14:paraId="6684BF2E" w14:textId="77777777" w:rsidR="00941EDD" w:rsidRPr="007F50D6" w:rsidRDefault="00941EDD" w:rsidP="00941EDD">
      <w:pPr>
        <w:pStyle w:val="ListParagraph"/>
        <w:numPr>
          <w:ilvl w:val="0"/>
          <w:numId w:val="22"/>
        </w:numPr>
        <w:contextualSpacing/>
        <w:jc w:val="both"/>
        <w:rPr>
          <w:rFonts w:cs="Arial"/>
        </w:rPr>
      </w:pPr>
      <w:r w:rsidRPr="007F50D6">
        <w:rPr>
          <w:rFonts w:cs="Arial"/>
          <w:lang w:val="es-419"/>
        </w:rPr>
        <w:t xml:space="preserve">Hoddinott J, Maluccio JA, Behrman JR, Flores R, </w:t>
      </w:r>
      <w:r w:rsidRPr="007F50D6">
        <w:rPr>
          <w:rFonts w:cs="Arial"/>
          <w:b/>
          <w:lang w:val="es-419"/>
        </w:rPr>
        <w:t>Martorell R</w:t>
      </w:r>
      <w:r w:rsidRPr="007F50D6">
        <w:rPr>
          <w:rFonts w:cs="Arial"/>
          <w:lang w:val="es-419"/>
        </w:rPr>
        <w:t xml:space="preserve">.  </w:t>
      </w:r>
      <w:r w:rsidRPr="007F50D6">
        <w:rPr>
          <w:rFonts w:cs="Arial"/>
        </w:rPr>
        <w:t xml:space="preserve">Effect of a nutrition intervention during early childhood on economic productivity in Guatemalan adults.  </w:t>
      </w:r>
      <w:r w:rsidRPr="007F50D6">
        <w:rPr>
          <w:rFonts w:cs="Arial"/>
          <w:i/>
        </w:rPr>
        <w:t>Lancet</w:t>
      </w:r>
      <w:r w:rsidRPr="007F50D6">
        <w:rPr>
          <w:rFonts w:cs="Arial"/>
        </w:rPr>
        <w:t xml:space="preserve"> 371(9610):411-6, 2008 February. (PMCID: PMC18242415)</w:t>
      </w:r>
    </w:p>
    <w:p w14:paraId="0DA740B9" w14:textId="2411C438" w:rsidR="00941EDD" w:rsidRPr="007F50D6" w:rsidRDefault="00941EDD" w:rsidP="00941EDD">
      <w:pPr>
        <w:pStyle w:val="ListParagraph"/>
        <w:numPr>
          <w:ilvl w:val="0"/>
          <w:numId w:val="22"/>
        </w:numPr>
        <w:contextualSpacing/>
        <w:jc w:val="both"/>
        <w:rPr>
          <w:rFonts w:cs="Arial"/>
        </w:rPr>
      </w:pPr>
      <w:r w:rsidRPr="007F50D6">
        <w:rPr>
          <w:rFonts w:cs="Arial"/>
        </w:rPr>
        <w:t xml:space="preserve">Huang C, Li Z, Wang M, </w:t>
      </w:r>
      <w:r w:rsidRPr="007F50D6">
        <w:rPr>
          <w:rFonts w:cs="Arial"/>
          <w:b/>
        </w:rPr>
        <w:t>Martorell R</w:t>
      </w:r>
      <w:r w:rsidRPr="007F50D6">
        <w:rPr>
          <w:rFonts w:cs="Arial"/>
        </w:rPr>
        <w:t xml:space="preserve">.  Early life exposure to the 1959-1961 Chinese famine has long-term </w:t>
      </w:r>
      <w:r w:rsidR="00CA087C">
        <w:rPr>
          <w:rFonts w:cs="Arial"/>
        </w:rPr>
        <w:t>health</w:t>
      </w:r>
      <w:r w:rsidRPr="007F50D6">
        <w:rPr>
          <w:rFonts w:cs="Arial"/>
        </w:rPr>
        <w:t xml:space="preserve"> consequences.  </w:t>
      </w:r>
      <w:r w:rsidRPr="007F50D6">
        <w:rPr>
          <w:rFonts w:cs="Arial"/>
          <w:i/>
        </w:rPr>
        <w:t xml:space="preserve">J </w:t>
      </w:r>
      <w:proofErr w:type="spellStart"/>
      <w:r w:rsidRPr="007F50D6">
        <w:rPr>
          <w:rFonts w:cs="Arial"/>
          <w:i/>
        </w:rPr>
        <w:t>Nutr</w:t>
      </w:r>
      <w:proofErr w:type="spellEnd"/>
      <w:r w:rsidRPr="007F50D6">
        <w:rPr>
          <w:rFonts w:cs="Arial"/>
        </w:rPr>
        <w:t xml:space="preserve"> 140(10):1874-8, 2010 October.  (PMID: 20702751)</w:t>
      </w:r>
    </w:p>
    <w:p w14:paraId="646ABA18" w14:textId="77777777" w:rsidR="00941EDD" w:rsidRPr="007F50D6" w:rsidRDefault="00941EDD" w:rsidP="00941EDD">
      <w:pPr>
        <w:pStyle w:val="ListParagraph"/>
        <w:numPr>
          <w:ilvl w:val="0"/>
          <w:numId w:val="22"/>
        </w:numPr>
        <w:contextualSpacing/>
        <w:jc w:val="both"/>
        <w:rPr>
          <w:rFonts w:cs="Arial"/>
        </w:rPr>
      </w:pPr>
      <w:r w:rsidRPr="007F50D6">
        <w:rPr>
          <w:rFonts w:cs="Arial"/>
        </w:rPr>
        <w:t xml:space="preserve">Huang C, Phillips MR, Zhang Y, Zhang J, Shi Q, Song Z, Ding Z, Pang S, </w:t>
      </w:r>
      <w:r w:rsidRPr="007F50D6">
        <w:rPr>
          <w:rFonts w:cs="Arial"/>
          <w:b/>
        </w:rPr>
        <w:t xml:space="preserve">Martorell R.  </w:t>
      </w:r>
      <w:r w:rsidRPr="007F50D6">
        <w:rPr>
          <w:rFonts w:cs="Arial"/>
        </w:rPr>
        <w:t xml:space="preserve">Malnutrition in early life and adult mental health: evidence from a natural experiment. </w:t>
      </w:r>
      <w:r w:rsidRPr="007F50D6">
        <w:rPr>
          <w:rFonts w:cs="Arial"/>
          <w:i/>
        </w:rPr>
        <w:t>Soc Sci Med</w:t>
      </w:r>
      <w:r w:rsidRPr="007F50D6">
        <w:rPr>
          <w:rFonts w:cs="Arial"/>
        </w:rPr>
        <w:t xml:space="preserve"> 2012 December. (PMCID:PMC3726543)</w:t>
      </w:r>
    </w:p>
    <w:p w14:paraId="6D721018" w14:textId="77777777" w:rsidR="00941EDD" w:rsidRPr="007F50D6" w:rsidRDefault="00941EDD" w:rsidP="00941EDD">
      <w:pPr>
        <w:pStyle w:val="ListBullet"/>
        <w:numPr>
          <w:ilvl w:val="0"/>
          <w:numId w:val="22"/>
        </w:numPr>
        <w:autoSpaceDE/>
        <w:autoSpaceDN/>
        <w:contextualSpacing/>
        <w:jc w:val="both"/>
        <w:rPr>
          <w:rFonts w:ascii="Arial" w:hAnsi="Arial" w:cs="Arial"/>
        </w:rPr>
      </w:pPr>
      <w:r w:rsidRPr="007F50D6">
        <w:rPr>
          <w:rFonts w:ascii="Arial" w:hAnsi="Arial" w:cs="Arial"/>
          <w:b/>
        </w:rPr>
        <w:t>Martorell R</w:t>
      </w:r>
      <w:r w:rsidRPr="007F50D6">
        <w:rPr>
          <w:rFonts w:ascii="Arial" w:hAnsi="Arial" w:cs="Arial"/>
        </w:rPr>
        <w:t xml:space="preserve">. Improved nutrition in the first 1000 days and adult human capital and health. </w:t>
      </w:r>
      <w:r w:rsidRPr="007F50D6">
        <w:rPr>
          <w:rFonts w:ascii="Arial" w:hAnsi="Arial" w:cs="Arial"/>
          <w:i/>
        </w:rPr>
        <w:t>American J Hum Biol</w:t>
      </w:r>
      <w:r w:rsidRPr="007F50D6">
        <w:rPr>
          <w:rFonts w:ascii="Arial" w:hAnsi="Arial" w:cs="Arial"/>
        </w:rPr>
        <w:t xml:space="preserve"> 29(2):e22952, 2017 March. (PMID: 28117514)</w:t>
      </w:r>
    </w:p>
    <w:p w14:paraId="4BE05FB4" w14:textId="77777777" w:rsidR="00941EDD" w:rsidRPr="004B2421" w:rsidRDefault="00941EDD" w:rsidP="00941EDD">
      <w:pPr>
        <w:jc w:val="both"/>
      </w:pPr>
      <w:r>
        <w:rPr>
          <w:b/>
        </w:rPr>
        <w:t xml:space="preserve">Patterns and long-term consequences of growth failure in early childhood. </w:t>
      </w:r>
      <w:r>
        <w:t>M</w:t>
      </w:r>
      <w:r w:rsidRPr="004B2421">
        <w:t>ar</w:t>
      </w:r>
      <w:r>
        <w:t xml:space="preserve">torell has been a student of human growth in the context of poverty, poor </w:t>
      </w:r>
      <w:proofErr w:type="gramStart"/>
      <w:r>
        <w:t>diets</w:t>
      </w:r>
      <w:proofErr w:type="gramEnd"/>
      <w:r>
        <w:t xml:space="preserve"> and disease for over 40 years. His many publications have </w:t>
      </w:r>
      <w:r>
        <w:lastRenderedPageBreak/>
        <w:t>described patterns of child growth as well as the short and long-term consequences of growth failure in early life. These findings have underscored the importance of improving the health and nutrition of young children.</w:t>
      </w:r>
    </w:p>
    <w:p w14:paraId="79C4674F" w14:textId="77777777" w:rsidR="00941EDD" w:rsidRPr="00E6189E" w:rsidRDefault="00941EDD" w:rsidP="00941EDD">
      <w:pPr>
        <w:widowControl w:val="0"/>
        <w:numPr>
          <w:ilvl w:val="0"/>
          <w:numId w:val="20"/>
        </w:numPr>
        <w:adjustRightInd w:val="0"/>
        <w:ind w:left="720"/>
        <w:jc w:val="both"/>
        <w:rPr>
          <w:rFonts w:cs="Arial"/>
          <w:szCs w:val="22"/>
          <w:lang w:val="es-ES"/>
        </w:rPr>
      </w:pPr>
      <w:r w:rsidRPr="003C2961">
        <w:rPr>
          <w:rFonts w:cs="Arial"/>
          <w:szCs w:val="22"/>
        </w:rPr>
        <w:t xml:space="preserve">Young MF, </w:t>
      </w:r>
      <w:r w:rsidRPr="003C2961">
        <w:rPr>
          <w:rFonts w:cs="Arial"/>
          <w:b/>
          <w:szCs w:val="22"/>
        </w:rPr>
        <w:t>Martorell R.</w:t>
      </w:r>
      <w:r w:rsidRPr="003C2961">
        <w:rPr>
          <w:rFonts w:cs="Arial"/>
          <w:szCs w:val="22"/>
        </w:rPr>
        <w:t xml:space="preserve">  The public health challenge of early growth failure in India.  </w:t>
      </w:r>
      <w:r w:rsidRPr="003C2961">
        <w:rPr>
          <w:rFonts w:cs="Arial"/>
          <w:i/>
          <w:szCs w:val="22"/>
        </w:rPr>
        <w:t>Eur J Clin</w:t>
      </w:r>
      <w:r>
        <w:rPr>
          <w:rFonts w:cs="Arial"/>
          <w:i/>
          <w:szCs w:val="22"/>
        </w:rPr>
        <w:t xml:space="preserve"> </w:t>
      </w:r>
      <w:proofErr w:type="spellStart"/>
      <w:r>
        <w:rPr>
          <w:rFonts w:cs="Arial"/>
          <w:i/>
          <w:szCs w:val="22"/>
        </w:rPr>
        <w:t>Nutr</w:t>
      </w:r>
      <w:proofErr w:type="spellEnd"/>
      <w:r>
        <w:rPr>
          <w:rFonts w:cs="Arial"/>
          <w:i/>
          <w:szCs w:val="22"/>
        </w:rPr>
        <w:t xml:space="preserve"> </w:t>
      </w:r>
      <w:r w:rsidRPr="003C2961">
        <w:rPr>
          <w:rFonts w:cs="Arial"/>
          <w:szCs w:val="22"/>
        </w:rPr>
        <w:t>67:496-500, 2013 February. (PMID: 23388670)</w:t>
      </w:r>
    </w:p>
    <w:p w14:paraId="7EBC499E" w14:textId="77777777" w:rsidR="00941EDD" w:rsidRPr="003C2961" w:rsidRDefault="00941EDD" w:rsidP="00941EDD">
      <w:pPr>
        <w:widowControl w:val="0"/>
        <w:numPr>
          <w:ilvl w:val="0"/>
          <w:numId w:val="20"/>
        </w:numPr>
        <w:adjustRightInd w:val="0"/>
        <w:ind w:left="720"/>
        <w:jc w:val="both"/>
        <w:rPr>
          <w:rFonts w:cs="Arial"/>
          <w:szCs w:val="22"/>
          <w:lang w:val="es-ES"/>
        </w:rPr>
      </w:pPr>
      <w:r w:rsidRPr="000B6970">
        <w:t xml:space="preserve">Adair LS, Fall CH, Osmond C, Stein AD, </w:t>
      </w:r>
      <w:r w:rsidRPr="003C2961">
        <w:rPr>
          <w:b/>
        </w:rPr>
        <w:t>Martorell R</w:t>
      </w:r>
      <w:r w:rsidRPr="000B6970">
        <w:t>, Ramirez-</w:t>
      </w:r>
      <w:proofErr w:type="spellStart"/>
      <w:r w:rsidRPr="000B6970">
        <w:t>Zea</w:t>
      </w:r>
      <w:proofErr w:type="spellEnd"/>
      <w:r w:rsidRPr="000B6970">
        <w:t xml:space="preserve"> M, Sachdev HS, Dahly DL, Bas I, Norris S, </w:t>
      </w:r>
      <w:proofErr w:type="spellStart"/>
      <w:r w:rsidRPr="000B6970">
        <w:t>Micklesfield</w:t>
      </w:r>
      <w:proofErr w:type="spellEnd"/>
      <w:r w:rsidRPr="000B6970">
        <w:t xml:space="preserve"> L, Hallal P, Victora C.  Associations of linear growth and relative weight gain during early life with adult health and human capital in countries of low and middle income: findings from five birth cohort studies. </w:t>
      </w:r>
      <w:r w:rsidRPr="00F829BF">
        <w:rPr>
          <w:i/>
        </w:rPr>
        <w:t>The Lancet</w:t>
      </w:r>
      <w:r w:rsidRPr="000B6970">
        <w:t xml:space="preserve"> 382(9891):525-34, 2013 August.  (PMID: PMC3744751)</w:t>
      </w:r>
    </w:p>
    <w:p w14:paraId="18611F6C" w14:textId="77777777" w:rsidR="00941EDD" w:rsidRPr="003C1B91" w:rsidRDefault="00941EDD" w:rsidP="00941EDD">
      <w:pPr>
        <w:numPr>
          <w:ilvl w:val="0"/>
          <w:numId w:val="20"/>
        </w:numPr>
        <w:ind w:left="720"/>
        <w:jc w:val="both"/>
        <w:rPr>
          <w:rFonts w:cs="Arial"/>
          <w:szCs w:val="22"/>
        </w:rPr>
      </w:pPr>
      <w:r w:rsidRPr="00CD2DC0">
        <w:rPr>
          <w:rFonts w:cs="Arial"/>
          <w:b/>
          <w:bCs/>
          <w:szCs w:val="22"/>
        </w:rPr>
        <w:t>Martorell R.</w:t>
      </w:r>
      <w:r w:rsidRPr="00CD2DC0">
        <w:rPr>
          <w:rFonts w:cs="Arial"/>
          <w:bCs/>
          <w:szCs w:val="22"/>
        </w:rPr>
        <w:t xml:space="preserve">  Physical growth and development of the malnourished child:  Contributions from 50 years of research at INCAP 1949-1999.  </w:t>
      </w:r>
      <w:r w:rsidRPr="00CD2DC0">
        <w:rPr>
          <w:rFonts w:cs="Arial"/>
          <w:bCs/>
          <w:i/>
          <w:szCs w:val="22"/>
        </w:rPr>
        <w:t xml:space="preserve">Food </w:t>
      </w:r>
      <w:proofErr w:type="spellStart"/>
      <w:r w:rsidRPr="00CD2DC0">
        <w:rPr>
          <w:rFonts w:cs="Arial"/>
          <w:bCs/>
          <w:i/>
          <w:szCs w:val="22"/>
        </w:rPr>
        <w:t>Nutr</w:t>
      </w:r>
      <w:proofErr w:type="spellEnd"/>
      <w:r w:rsidRPr="00CD2DC0">
        <w:rPr>
          <w:rFonts w:cs="Arial"/>
          <w:bCs/>
          <w:i/>
          <w:szCs w:val="22"/>
        </w:rPr>
        <w:t xml:space="preserve"> Bull</w:t>
      </w:r>
      <w:r w:rsidRPr="00CD2DC0">
        <w:rPr>
          <w:rFonts w:cs="Arial"/>
          <w:bCs/>
          <w:szCs w:val="22"/>
        </w:rPr>
        <w:t xml:space="preserve"> 31(1):68-82, 2010 March. (</w:t>
      </w:r>
      <w:r w:rsidRPr="00CD2DC0">
        <w:rPr>
          <w:rStyle w:val="rprtid"/>
          <w:rFonts w:cs="Arial"/>
          <w:szCs w:val="22"/>
        </w:rPr>
        <w:t>PMID: 20461905)</w:t>
      </w:r>
      <w:r w:rsidRPr="003C1B91">
        <w:t xml:space="preserve"> </w:t>
      </w:r>
    </w:p>
    <w:p w14:paraId="60FF30CC" w14:textId="77777777" w:rsidR="00941EDD" w:rsidRPr="003C1B91" w:rsidRDefault="00941EDD" w:rsidP="00941EDD">
      <w:pPr>
        <w:numPr>
          <w:ilvl w:val="0"/>
          <w:numId w:val="20"/>
        </w:numPr>
        <w:ind w:left="720"/>
        <w:jc w:val="both"/>
        <w:rPr>
          <w:rStyle w:val="rprtid"/>
          <w:rFonts w:cs="Arial"/>
          <w:szCs w:val="22"/>
        </w:rPr>
      </w:pPr>
      <w:r w:rsidRPr="003C1B91">
        <w:rPr>
          <w:rStyle w:val="rprtid"/>
          <w:rFonts w:cs="Arial"/>
          <w:szCs w:val="22"/>
        </w:rPr>
        <w:t>Hoddinott J, Behrman JR, Maluccio JA, Melgar P, Quisumbing AR, Ramirez-</w:t>
      </w:r>
      <w:proofErr w:type="spellStart"/>
      <w:r w:rsidRPr="003C1B91">
        <w:rPr>
          <w:rStyle w:val="rprtid"/>
          <w:rFonts w:cs="Arial"/>
          <w:szCs w:val="22"/>
        </w:rPr>
        <w:t>Zea</w:t>
      </w:r>
      <w:proofErr w:type="spellEnd"/>
      <w:r w:rsidRPr="003C1B91">
        <w:rPr>
          <w:rStyle w:val="rprtid"/>
          <w:rFonts w:cs="Arial"/>
          <w:szCs w:val="22"/>
        </w:rPr>
        <w:t xml:space="preserve"> M, Stein AD, Yount KM, </w:t>
      </w:r>
      <w:r w:rsidRPr="00784721">
        <w:rPr>
          <w:rStyle w:val="rprtid"/>
          <w:rFonts w:cs="Arial"/>
          <w:b/>
          <w:szCs w:val="22"/>
        </w:rPr>
        <w:t>Martorell R</w:t>
      </w:r>
      <w:r w:rsidRPr="003C1B91">
        <w:rPr>
          <w:rStyle w:val="rprtid"/>
          <w:rFonts w:cs="Arial"/>
          <w:szCs w:val="22"/>
        </w:rPr>
        <w:t xml:space="preserve">.  Adult consequences of growth failure in early childhood. </w:t>
      </w:r>
      <w:r w:rsidRPr="00F829BF">
        <w:rPr>
          <w:rStyle w:val="rprtid"/>
          <w:rFonts w:cs="Arial"/>
          <w:i/>
          <w:szCs w:val="22"/>
        </w:rPr>
        <w:t xml:space="preserve">Am J Clin </w:t>
      </w:r>
      <w:proofErr w:type="spellStart"/>
      <w:r w:rsidRPr="00F829BF">
        <w:rPr>
          <w:rStyle w:val="rprtid"/>
          <w:rFonts w:cs="Arial"/>
          <w:i/>
          <w:szCs w:val="22"/>
        </w:rPr>
        <w:t>Nutr</w:t>
      </w:r>
      <w:proofErr w:type="spellEnd"/>
      <w:r w:rsidRPr="003C1B91">
        <w:rPr>
          <w:rStyle w:val="rprtid"/>
          <w:rFonts w:cs="Arial"/>
          <w:szCs w:val="22"/>
        </w:rPr>
        <w:t xml:space="preserve"> 98:1170-8, 2013 November.  (PMCID:PMC3798075)</w:t>
      </w:r>
    </w:p>
    <w:p w14:paraId="38FFF5A6" w14:textId="77777777" w:rsidR="00941EDD" w:rsidRPr="001F2445" w:rsidRDefault="00941EDD" w:rsidP="00941EDD">
      <w:pPr>
        <w:jc w:val="both"/>
      </w:pPr>
      <w:r>
        <w:rPr>
          <w:b/>
        </w:rPr>
        <w:t xml:space="preserve">Human growth: methods and standards.  </w:t>
      </w:r>
      <w:r w:rsidRPr="001F2445">
        <w:t xml:space="preserve">Martorell </w:t>
      </w:r>
      <w:r>
        <w:t xml:space="preserve">and colleagues published a paper in the Lancet in 1974 that advanced the hypothesis that growth potential in length in children is similar around the world. Later, Martorell was part of the Executive Committee that designed and carried out the WHO </w:t>
      </w:r>
      <w:proofErr w:type="spellStart"/>
      <w:r>
        <w:t>Multicountry</w:t>
      </w:r>
      <w:proofErr w:type="spellEnd"/>
      <w:r>
        <w:t xml:space="preserve"> Growth Reference study that led to the 2006 child growth standards; this study showed that children growing in healthy environments in Brazil, the US, Ghana, Oman, </w:t>
      </w:r>
      <w:proofErr w:type="gramStart"/>
      <w:r>
        <w:t>Norway</w:t>
      </w:r>
      <w:proofErr w:type="gramEnd"/>
      <w:r>
        <w:t xml:space="preserve"> and India grew similarly from birth to 5 years of age. These child growth standards are used throughout the world. Martorell was one of the authors of the landmark effort to standardize methods for anthropometric assessments; this reference manual is the most used reference manual in anthropometry (13,596 citations reported by Google Scholar for the English edition). He also was a co-author of the influential UN publication on appropriate uses of anthropometry.   </w:t>
      </w:r>
    </w:p>
    <w:p w14:paraId="4E7FBE97" w14:textId="77777777" w:rsidR="00941EDD" w:rsidRPr="009E1CE9" w:rsidRDefault="00941EDD" w:rsidP="00941EDD">
      <w:pPr>
        <w:numPr>
          <w:ilvl w:val="0"/>
          <w:numId w:val="23"/>
        </w:numPr>
        <w:jc w:val="both"/>
        <w:rPr>
          <w:rFonts w:cs="Arial"/>
          <w:szCs w:val="22"/>
        </w:rPr>
      </w:pPr>
      <w:r w:rsidRPr="009E1CE9">
        <w:rPr>
          <w:rFonts w:cs="Arial"/>
          <w:szCs w:val="22"/>
        </w:rPr>
        <w:t xml:space="preserve">Habicht J P, </w:t>
      </w:r>
      <w:r w:rsidRPr="009E1CE9">
        <w:rPr>
          <w:rFonts w:cs="Arial"/>
          <w:b/>
          <w:szCs w:val="22"/>
        </w:rPr>
        <w:t>Martorell R</w:t>
      </w:r>
      <w:r w:rsidRPr="009E1CE9">
        <w:rPr>
          <w:rFonts w:cs="Arial"/>
          <w:szCs w:val="22"/>
        </w:rPr>
        <w:t xml:space="preserve">, Yarbrough C, Malina RM, Klein RE.  Height and weight standards for preschool children: How relevant are ethnic differences in growth potential?  </w:t>
      </w:r>
      <w:r w:rsidRPr="00F829BF">
        <w:rPr>
          <w:rFonts w:cs="Arial"/>
          <w:i/>
          <w:szCs w:val="22"/>
        </w:rPr>
        <w:t xml:space="preserve">Lancet </w:t>
      </w:r>
      <w:r w:rsidRPr="009E1CE9">
        <w:rPr>
          <w:rFonts w:cs="Arial"/>
          <w:szCs w:val="22"/>
        </w:rPr>
        <w:t>1:611 5, 1974.</w:t>
      </w:r>
    </w:p>
    <w:p w14:paraId="15BF862B" w14:textId="77777777" w:rsidR="00941EDD" w:rsidRPr="00556B87" w:rsidRDefault="00941EDD" w:rsidP="00941EDD">
      <w:pPr>
        <w:pStyle w:val="ListParagraph"/>
        <w:numPr>
          <w:ilvl w:val="0"/>
          <w:numId w:val="23"/>
        </w:numPr>
        <w:spacing w:before="100" w:beforeAutospacing="1" w:after="100" w:afterAutospacing="1"/>
        <w:contextualSpacing/>
        <w:jc w:val="both"/>
        <w:rPr>
          <w:rFonts w:cs="Arial"/>
        </w:rPr>
      </w:pPr>
      <w:r w:rsidRPr="00787FA0">
        <w:t xml:space="preserve">Lohman TG, Roche </w:t>
      </w:r>
      <w:proofErr w:type="gramStart"/>
      <w:r w:rsidRPr="00787FA0">
        <w:t>AF</w:t>
      </w:r>
      <w:proofErr w:type="gramEnd"/>
      <w:r w:rsidRPr="00787FA0">
        <w:t xml:space="preserve"> and </w:t>
      </w:r>
      <w:r w:rsidRPr="00556B87">
        <w:rPr>
          <w:b/>
        </w:rPr>
        <w:t>Martorell R</w:t>
      </w:r>
      <w:r w:rsidRPr="00787FA0">
        <w:t xml:space="preserve"> (eds).  </w:t>
      </w:r>
      <w:r w:rsidRPr="00556B87">
        <w:rPr>
          <w:i/>
        </w:rPr>
        <w:t xml:space="preserve">Anthropometric Standardization Reference Manual. </w:t>
      </w:r>
      <w:r w:rsidRPr="00787FA0">
        <w:t>Human Kinetics Publishers, Inc., 1988, 177 pages.  [An abridged 1991 edition was also published]</w:t>
      </w:r>
    </w:p>
    <w:p w14:paraId="6F8AD4E4" w14:textId="77777777" w:rsidR="00941EDD" w:rsidRPr="004A3134" w:rsidRDefault="00941EDD" w:rsidP="00941EDD">
      <w:pPr>
        <w:pStyle w:val="Level1"/>
        <w:keepLines/>
        <w:numPr>
          <w:ilvl w:val="0"/>
          <w:numId w:val="23"/>
        </w:numPr>
        <w:tabs>
          <w:tab w:val="left" w:pos="0"/>
          <w:tab w:val="left" w:pos="360"/>
          <w:tab w:val="left" w:pos="720"/>
          <w:tab w:val="left" w:pos="1440"/>
          <w:tab w:val="left" w:pos="2160"/>
          <w:tab w:val="left" w:pos="2880"/>
          <w:tab w:val="left" w:pos="3600"/>
          <w:tab w:val="left" w:pos="4320"/>
          <w:tab w:val="left" w:pos="5040"/>
          <w:tab w:val="left" w:pos="5580"/>
          <w:tab w:val="left" w:pos="5760"/>
          <w:tab w:val="left" w:pos="6480"/>
          <w:tab w:val="left" w:pos="7200"/>
          <w:tab w:val="left" w:pos="7920"/>
          <w:tab w:val="left" w:pos="8640"/>
        </w:tabs>
        <w:spacing w:before="100" w:beforeAutospacing="1" w:after="100" w:afterAutospacing="1"/>
        <w:jc w:val="both"/>
        <w:rPr>
          <w:rFonts w:ascii="Arial" w:hAnsi="Arial" w:cs="Arial"/>
          <w:bCs/>
          <w:sz w:val="22"/>
          <w:szCs w:val="22"/>
        </w:rPr>
      </w:pPr>
      <w:r w:rsidRPr="00556B87">
        <w:rPr>
          <w:rFonts w:ascii="Arial" w:hAnsi="Arial" w:cs="Arial"/>
          <w:bCs/>
          <w:sz w:val="22"/>
          <w:szCs w:val="22"/>
        </w:rPr>
        <w:t xml:space="preserve">de Onis M, Garza C, Onyango AW, </w:t>
      </w:r>
      <w:r w:rsidRPr="00556B87">
        <w:rPr>
          <w:rFonts w:ascii="Arial" w:hAnsi="Arial" w:cs="Arial"/>
          <w:b/>
          <w:bCs/>
          <w:sz w:val="22"/>
          <w:szCs w:val="22"/>
        </w:rPr>
        <w:t>Martorell R</w:t>
      </w:r>
      <w:r w:rsidRPr="00556B87">
        <w:rPr>
          <w:rFonts w:ascii="Arial" w:hAnsi="Arial" w:cs="Arial"/>
          <w:bCs/>
          <w:sz w:val="22"/>
          <w:szCs w:val="22"/>
        </w:rPr>
        <w:t xml:space="preserve"> (editors).  WHO child growth standards.  </w:t>
      </w:r>
      <w:r w:rsidRPr="00556B87">
        <w:rPr>
          <w:rFonts w:ascii="Arial" w:hAnsi="Arial" w:cs="Arial"/>
          <w:bCs/>
          <w:i/>
          <w:sz w:val="22"/>
          <w:szCs w:val="22"/>
        </w:rPr>
        <w:t xml:space="preserve">Acta </w:t>
      </w:r>
      <w:proofErr w:type="spellStart"/>
      <w:r w:rsidRPr="00556B87">
        <w:rPr>
          <w:rFonts w:ascii="Arial" w:hAnsi="Arial" w:cs="Arial"/>
          <w:bCs/>
          <w:i/>
          <w:sz w:val="22"/>
          <w:szCs w:val="22"/>
        </w:rPr>
        <w:t>Paediatrica</w:t>
      </w:r>
      <w:proofErr w:type="spellEnd"/>
      <w:r w:rsidRPr="00556B87">
        <w:rPr>
          <w:rFonts w:ascii="Arial" w:hAnsi="Arial" w:cs="Arial"/>
          <w:bCs/>
          <w:i/>
          <w:sz w:val="22"/>
          <w:szCs w:val="22"/>
        </w:rPr>
        <w:t xml:space="preserve"> </w:t>
      </w:r>
      <w:r w:rsidRPr="00556B87">
        <w:rPr>
          <w:rFonts w:ascii="Arial" w:hAnsi="Arial" w:cs="Arial"/>
          <w:bCs/>
          <w:sz w:val="22"/>
          <w:szCs w:val="22"/>
        </w:rPr>
        <w:t>95(450S): 1-101, 2006. (PMID:</w:t>
      </w:r>
      <w:r w:rsidRPr="00556B87">
        <w:rPr>
          <w:rFonts w:ascii="Arial" w:hAnsi="Arial" w:cs="Arial"/>
          <w:sz w:val="22"/>
          <w:szCs w:val="22"/>
          <w:lang w:val="es-ES"/>
        </w:rPr>
        <w:t xml:space="preserve"> 3314468)</w:t>
      </w:r>
    </w:p>
    <w:p w14:paraId="3C1634A7" w14:textId="77777777" w:rsidR="00941EDD" w:rsidRPr="00F829BF" w:rsidRDefault="00941EDD" w:rsidP="00941EDD">
      <w:pPr>
        <w:numPr>
          <w:ilvl w:val="0"/>
          <w:numId w:val="23"/>
        </w:numPr>
        <w:autoSpaceDE/>
        <w:autoSpaceDN/>
        <w:jc w:val="both"/>
        <w:rPr>
          <w:rFonts w:cs="Arial"/>
          <w:color w:val="212121"/>
          <w:szCs w:val="22"/>
          <w:shd w:val="clear" w:color="auto" w:fill="FFFFFF"/>
        </w:rPr>
      </w:pPr>
      <w:r w:rsidRPr="00A00055">
        <w:rPr>
          <w:rFonts w:cs="Arial"/>
          <w:color w:val="212121"/>
          <w:szCs w:val="22"/>
          <w:shd w:val="clear" w:color="auto" w:fill="FFFFFF"/>
          <w:lang w:val="es-419"/>
        </w:rPr>
        <w:t xml:space="preserve">Conkle J, Suchdev PS, Alexander E, Flores-Ayala R, Ramakrishnan U, </w:t>
      </w:r>
      <w:r w:rsidRPr="00A00055">
        <w:rPr>
          <w:rFonts w:cs="Arial"/>
          <w:b/>
          <w:color w:val="212121"/>
          <w:szCs w:val="22"/>
          <w:shd w:val="clear" w:color="auto" w:fill="FFFFFF"/>
          <w:lang w:val="es-419"/>
        </w:rPr>
        <w:t>Martorell R</w:t>
      </w:r>
      <w:r w:rsidRPr="00A00055">
        <w:rPr>
          <w:rFonts w:cs="Arial"/>
          <w:color w:val="212121"/>
          <w:szCs w:val="22"/>
          <w:shd w:val="clear" w:color="auto" w:fill="FFFFFF"/>
          <w:lang w:val="es-419"/>
        </w:rPr>
        <w:t xml:space="preserve">.  </w:t>
      </w:r>
      <w:r w:rsidRPr="004A3134">
        <w:rPr>
          <w:rFonts w:cs="Arial"/>
          <w:color w:val="212121"/>
          <w:szCs w:val="22"/>
          <w:shd w:val="clear" w:color="auto" w:fill="FFFFFF"/>
        </w:rPr>
        <w:t xml:space="preserve">Accuracy and reliability of a low-cost, handled 3D imaging system for child anthropometry. </w:t>
      </w:r>
      <w:proofErr w:type="spellStart"/>
      <w:r w:rsidRPr="00F829BF">
        <w:rPr>
          <w:rFonts w:cs="Arial"/>
          <w:i/>
          <w:color w:val="212121"/>
          <w:szCs w:val="22"/>
          <w:shd w:val="clear" w:color="auto" w:fill="FFFFFF"/>
        </w:rPr>
        <w:t>PLos</w:t>
      </w:r>
      <w:proofErr w:type="spellEnd"/>
      <w:r w:rsidRPr="00F829BF">
        <w:rPr>
          <w:rFonts w:cs="Arial"/>
          <w:i/>
          <w:color w:val="212121"/>
          <w:szCs w:val="22"/>
          <w:shd w:val="clear" w:color="auto" w:fill="FFFFFF"/>
        </w:rPr>
        <w:t xml:space="preserve"> ONE</w:t>
      </w:r>
      <w:r w:rsidRPr="004A3134">
        <w:rPr>
          <w:rFonts w:cs="Arial"/>
          <w:color w:val="212121"/>
          <w:szCs w:val="22"/>
          <w:shd w:val="clear" w:color="auto" w:fill="FFFFFF"/>
        </w:rPr>
        <w:t xml:space="preserve"> 13(10)</w:t>
      </w:r>
      <w:r>
        <w:rPr>
          <w:rFonts w:cs="Arial"/>
          <w:color w:val="212121"/>
          <w:szCs w:val="22"/>
          <w:shd w:val="clear" w:color="auto" w:fill="FFFFFF"/>
        </w:rPr>
        <w:t>:</w:t>
      </w:r>
      <w:r w:rsidRPr="004A3134">
        <w:rPr>
          <w:rFonts w:cs="Arial"/>
          <w:color w:val="212121"/>
          <w:szCs w:val="22"/>
          <w:shd w:val="clear" w:color="auto" w:fill="FFFFFF"/>
        </w:rPr>
        <w:t>e0205320, 2018 Octob</w:t>
      </w:r>
      <w:r w:rsidRPr="00F829BF">
        <w:rPr>
          <w:rFonts w:cs="Arial"/>
          <w:color w:val="212121"/>
          <w:szCs w:val="22"/>
          <w:shd w:val="clear" w:color="auto" w:fill="FFFFFF"/>
        </w:rPr>
        <w:t xml:space="preserve">er. </w:t>
      </w:r>
      <w:r w:rsidRPr="00F829BF">
        <w:rPr>
          <w:rFonts w:cs="Arial"/>
          <w:szCs w:val="22"/>
        </w:rPr>
        <w:t>(PMCID:</w:t>
      </w:r>
      <w:r w:rsidRPr="00F829BF">
        <w:rPr>
          <w:rFonts w:cs="Arial"/>
          <w:color w:val="212121"/>
          <w:szCs w:val="22"/>
          <w:shd w:val="clear" w:color="auto" w:fill="FFFFFF"/>
        </w:rPr>
        <w:t xml:space="preserve"> </w:t>
      </w:r>
      <w:hyperlink r:id="rId10" w:history="1">
        <w:r w:rsidRPr="00F829BF">
          <w:rPr>
            <w:rStyle w:val="Hyperlink"/>
            <w:rFonts w:cs="Arial"/>
            <w:color w:val="auto"/>
            <w:szCs w:val="22"/>
            <w:u w:val="none"/>
          </w:rPr>
          <w:t>PMC6200231</w:t>
        </w:r>
      </w:hyperlink>
      <w:r w:rsidRPr="00F829BF">
        <w:rPr>
          <w:rFonts w:cs="Arial"/>
          <w:szCs w:val="22"/>
        </w:rPr>
        <w:t>)</w:t>
      </w:r>
    </w:p>
    <w:p w14:paraId="3AEEAE07" w14:textId="77777777" w:rsidR="00941EDD" w:rsidRPr="00556B87" w:rsidRDefault="00941EDD" w:rsidP="00941EDD">
      <w:pPr>
        <w:jc w:val="both"/>
      </w:pPr>
      <w:r>
        <w:rPr>
          <w:b/>
        </w:rPr>
        <w:t>Micronutrient malnutrition: consequences and programs</w:t>
      </w:r>
      <w:r>
        <w:t xml:space="preserve">.  Martorell has been involved in </w:t>
      </w:r>
      <w:proofErr w:type="gramStart"/>
      <w:r>
        <w:t>a large number of</w:t>
      </w:r>
      <w:proofErr w:type="gramEnd"/>
      <w:r>
        <w:t xml:space="preserve"> studies that have looked at the functional consequences (such as morbidity, mortality, cognition) as well as programs to address these deficiencies. The widely cited monograph with Beaton documented that vitamin A capsules reduced mortality by 23% and this led to large investments and scale up of vitamin A supplementation programs in developing countries. </w:t>
      </w:r>
    </w:p>
    <w:p w14:paraId="719727B2" w14:textId="77777777" w:rsidR="00941EDD" w:rsidRPr="00CF051B" w:rsidRDefault="00941EDD" w:rsidP="00941EDD">
      <w:pPr>
        <w:pStyle w:val="ListParagraph"/>
        <w:numPr>
          <w:ilvl w:val="0"/>
          <w:numId w:val="24"/>
        </w:numPr>
        <w:contextualSpacing/>
        <w:jc w:val="both"/>
        <w:rPr>
          <w:rStyle w:val="rprtid"/>
        </w:rPr>
      </w:pPr>
      <w:r w:rsidRPr="00787FA0">
        <w:t xml:space="preserve">Beaton GH, </w:t>
      </w:r>
      <w:r w:rsidRPr="00556B87">
        <w:rPr>
          <w:b/>
        </w:rPr>
        <w:t>Martorell R</w:t>
      </w:r>
      <w:r w:rsidRPr="00787FA0">
        <w:t xml:space="preserve">, Aronson KJ, </w:t>
      </w:r>
      <w:proofErr w:type="spellStart"/>
      <w:r w:rsidRPr="00787FA0">
        <w:t>Edmonston</w:t>
      </w:r>
      <w:proofErr w:type="spellEnd"/>
      <w:r w:rsidRPr="00787FA0">
        <w:t xml:space="preserve"> B, McCabe B, </w:t>
      </w:r>
      <w:proofErr w:type="spellStart"/>
      <w:r w:rsidRPr="00787FA0">
        <w:t>Rossand</w:t>
      </w:r>
      <w:proofErr w:type="spellEnd"/>
      <w:r w:rsidRPr="00787FA0">
        <w:t xml:space="preserve"> AC and Harvey B.  </w:t>
      </w:r>
      <w:r w:rsidRPr="00556B87">
        <w:rPr>
          <w:i/>
        </w:rPr>
        <w:t>Effectiveness of Vitamin A Supplementation in the Control of Young Child Morbidity and Mortality in Developing Countries</w:t>
      </w:r>
      <w:r w:rsidRPr="00787FA0">
        <w:t>.   ACC/SCN State-of-the-Art Series Nutrition Policy Discussion Paper No. 13</w:t>
      </w:r>
      <w:r w:rsidRPr="00556B87">
        <w:rPr>
          <w:i/>
        </w:rPr>
        <w:t>.</w:t>
      </w:r>
      <w:r w:rsidRPr="00787FA0">
        <w:t xml:space="preserve">  Toronto, </w:t>
      </w:r>
      <w:proofErr w:type="spellStart"/>
      <w:r w:rsidRPr="00787FA0">
        <w:t>Canada:Toronto</w:t>
      </w:r>
      <w:proofErr w:type="spellEnd"/>
      <w:r w:rsidRPr="00787FA0">
        <w:t xml:space="preserve"> University, 1993.</w:t>
      </w:r>
    </w:p>
    <w:p w14:paraId="4EDAB9BF" w14:textId="77777777" w:rsidR="00941EDD" w:rsidRDefault="00941EDD" w:rsidP="00941EDD">
      <w:pPr>
        <w:widowControl w:val="0"/>
        <w:numPr>
          <w:ilvl w:val="0"/>
          <w:numId w:val="24"/>
        </w:numPr>
        <w:adjustRightInd w:val="0"/>
        <w:jc w:val="both"/>
        <w:rPr>
          <w:rFonts w:cs="Arial"/>
          <w:szCs w:val="22"/>
          <w:lang w:val="es-ES"/>
        </w:rPr>
      </w:pPr>
      <w:r w:rsidRPr="00CD36A8">
        <w:rPr>
          <w:rFonts w:cs="Arial"/>
          <w:b/>
          <w:szCs w:val="22"/>
          <w:lang w:val="es-ES"/>
        </w:rPr>
        <w:t>Martorell R</w:t>
      </w:r>
      <w:r w:rsidRPr="00CD36A8">
        <w:rPr>
          <w:rFonts w:cs="Arial"/>
          <w:szCs w:val="22"/>
          <w:lang w:val="es-ES"/>
        </w:rPr>
        <w:t xml:space="preserve">, Ascencio M, Tacsan L, Alfaro T, Young MF, Addo OY, Dary O, Flores-Ayala R.  </w:t>
      </w:r>
      <w:r w:rsidRPr="00CD36A8">
        <w:rPr>
          <w:rFonts w:cs="Arial"/>
          <w:szCs w:val="22"/>
        </w:rPr>
        <w:t xml:space="preserve">Effectiveness evaluation of the food fortification program of Costa Rica: impact on anemia prevalence and hemoglobin concentrations in women and children.  </w:t>
      </w:r>
      <w:r w:rsidRPr="00CD36A8">
        <w:rPr>
          <w:rFonts w:cs="Arial"/>
          <w:i/>
          <w:szCs w:val="22"/>
          <w:lang w:val="es-ES"/>
        </w:rPr>
        <w:t>Am J</w:t>
      </w:r>
      <w:r>
        <w:rPr>
          <w:rFonts w:cs="Arial"/>
          <w:i/>
          <w:szCs w:val="22"/>
          <w:lang w:val="es-ES"/>
        </w:rPr>
        <w:t xml:space="preserve"> Clin </w:t>
      </w:r>
      <w:proofErr w:type="spellStart"/>
      <w:r>
        <w:rPr>
          <w:rFonts w:cs="Arial"/>
          <w:i/>
          <w:szCs w:val="22"/>
          <w:lang w:val="es-ES"/>
        </w:rPr>
        <w:t>Nutr</w:t>
      </w:r>
      <w:proofErr w:type="spellEnd"/>
      <w:r w:rsidRPr="00CD36A8">
        <w:rPr>
          <w:rFonts w:cs="Arial"/>
          <w:i/>
          <w:szCs w:val="22"/>
          <w:lang w:val="es-ES"/>
        </w:rPr>
        <w:t xml:space="preserve"> </w:t>
      </w:r>
      <w:r w:rsidRPr="00CD36A8">
        <w:rPr>
          <w:rFonts w:cs="Arial"/>
          <w:szCs w:val="22"/>
          <w:lang w:val="es-ES"/>
        </w:rPr>
        <w:t xml:space="preserve">101(1):210-7, 2015 </w:t>
      </w:r>
      <w:proofErr w:type="spellStart"/>
      <w:r w:rsidRPr="00CD36A8">
        <w:rPr>
          <w:rFonts w:cs="Arial"/>
          <w:szCs w:val="22"/>
          <w:lang w:val="es-ES"/>
        </w:rPr>
        <w:t>January</w:t>
      </w:r>
      <w:proofErr w:type="spellEnd"/>
      <w:r w:rsidRPr="00CD36A8">
        <w:rPr>
          <w:rFonts w:cs="Arial"/>
          <w:szCs w:val="22"/>
          <w:lang w:val="es-ES"/>
        </w:rPr>
        <w:t>. (PMID: 25527765)</w:t>
      </w:r>
    </w:p>
    <w:p w14:paraId="3814A563" w14:textId="77777777" w:rsidR="00941EDD" w:rsidRDefault="00941EDD" w:rsidP="00941EDD">
      <w:pPr>
        <w:widowControl w:val="0"/>
        <w:numPr>
          <w:ilvl w:val="0"/>
          <w:numId w:val="24"/>
        </w:numPr>
        <w:adjustRightInd w:val="0"/>
        <w:jc w:val="both"/>
        <w:rPr>
          <w:rFonts w:cs="Arial"/>
          <w:color w:val="000000"/>
          <w:szCs w:val="22"/>
        </w:rPr>
      </w:pPr>
      <w:r w:rsidRPr="00F829BF">
        <w:rPr>
          <w:rFonts w:cs="Arial"/>
          <w:szCs w:val="22"/>
        </w:rPr>
        <w:t xml:space="preserve">Wendt AS, Stephenson R, Young MF, Verma P, </w:t>
      </w:r>
      <w:proofErr w:type="spellStart"/>
      <w:r w:rsidRPr="00F829BF">
        <w:rPr>
          <w:rFonts w:cs="Arial"/>
          <w:szCs w:val="22"/>
        </w:rPr>
        <w:t>Srikantiah</w:t>
      </w:r>
      <w:proofErr w:type="spellEnd"/>
      <w:r w:rsidRPr="00F829BF">
        <w:rPr>
          <w:rFonts w:cs="Arial"/>
          <w:szCs w:val="22"/>
        </w:rPr>
        <w:t xml:space="preserve"> S, Webb-Girard A, Hogue CJ, Ramakrishnan U, </w:t>
      </w:r>
      <w:r w:rsidRPr="00F829BF">
        <w:rPr>
          <w:rFonts w:cs="Arial"/>
          <w:b/>
          <w:szCs w:val="22"/>
        </w:rPr>
        <w:t>Martorell R.</w:t>
      </w:r>
      <w:r w:rsidRPr="00F829BF">
        <w:rPr>
          <w:rFonts w:cs="Arial"/>
          <w:szCs w:val="22"/>
        </w:rPr>
        <w:t xml:space="preserve"> Identifying bottlenecks in the iron and folic acid supply chain in Bihar, India: a mixed-methods study. </w:t>
      </w:r>
      <w:r w:rsidRPr="00F829BF">
        <w:rPr>
          <w:rFonts w:cs="Arial"/>
          <w:i/>
          <w:szCs w:val="22"/>
        </w:rPr>
        <w:t>BMC Health Services R</w:t>
      </w:r>
      <w:r>
        <w:rPr>
          <w:rFonts w:cs="Arial"/>
          <w:i/>
          <w:szCs w:val="22"/>
        </w:rPr>
        <w:t>esear</w:t>
      </w:r>
      <w:r w:rsidRPr="00F829BF">
        <w:rPr>
          <w:rFonts w:cs="Arial"/>
          <w:i/>
          <w:szCs w:val="22"/>
        </w:rPr>
        <w:t>ch</w:t>
      </w:r>
      <w:r w:rsidRPr="00F829BF">
        <w:rPr>
          <w:rFonts w:cs="Arial"/>
          <w:szCs w:val="22"/>
        </w:rPr>
        <w:t xml:space="preserve"> 18:281, 2018 April</w:t>
      </w:r>
      <w:r>
        <w:rPr>
          <w:rStyle w:val="CommentReference"/>
          <w:rFonts w:cs="Arial"/>
          <w:color w:val="000000"/>
          <w:szCs w:val="22"/>
        </w:rPr>
        <w:t xml:space="preserve"> </w:t>
      </w:r>
      <w:r w:rsidRPr="00F829BF">
        <w:rPr>
          <w:rFonts w:cs="Arial"/>
          <w:szCs w:val="22"/>
        </w:rPr>
        <w:t xml:space="preserve">(PMCID: </w:t>
      </w:r>
      <w:hyperlink r:id="rId11" w:history="1">
        <w:r w:rsidRPr="00F829BF">
          <w:rPr>
            <w:rStyle w:val="Hyperlink"/>
            <w:rFonts w:cs="Arial"/>
            <w:color w:val="auto"/>
            <w:szCs w:val="22"/>
            <w:u w:val="none"/>
          </w:rPr>
          <w:t>PMC5898001</w:t>
        </w:r>
      </w:hyperlink>
      <w:r w:rsidRPr="00F829BF">
        <w:rPr>
          <w:rFonts w:cs="Arial"/>
          <w:szCs w:val="22"/>
        </w:rPr>
        <w:t>)</w:t>
      </w:r>
    </w:p>
    <w:p w14:paraId="2793C5C6" w14:textId="77777777" w:rsidR="00405955" w:rsidRPr="00405955" w:rsidRDefault="00941EDD" w:rsidP="00941EDD">
      <w:pPr>
        <w:widowControl w:val="0"/>
        <w:numPr>
          <w:ilvl w:val="0"/>
          <w:numId w:val="24"/>
        </w:numPr>
        <w:adjustRightInd w:val="0"/>
        <w:jc w:val="both"/>
      </w:pPr>
      <w:r w:rsidRPr="00941EDD">
        <w:rPr>
          <w:rStyle w:val="CommentReference"/>
          <w:rFonts w:cs="Arial"/>
          <w:szCs w:val="22"/>
          <w:lang w:val="es-419"/>
        </w:rPr>
        <w:t>R</w:t>
      </w:r>
      <w:r w:rsidRPr="00941EDD">
        <w:rPr>
          <w:rFonts w:cs="Arial"/>
          <w:color w:val="000000"/>
          <w:szCs w:val="22"/>
          <w:lang w:val="es-419"/>
        </w:rPr>
        <w:t xml:space="preserve">amírez-Luzuriaga MJ, Larson LM, </w:t>
      </w:r>
      <w:proofErr w:type="spellStart"/>
      <w:r w:rsidRPr="00941EDD">
        <w:rPr>
          <w:rFonts w:cs="Arial"/>
          <w:color w:val="000000"/>
          <w:szCs w:val="22"/>
          <w:lang w:val="es-419"/>
        </w:rPr>
        <w:t>Mannar</w:t>
      </w:r>
      <w:proofErr w:type="spellEnd"/>
      <w:r w:rsidRPr="00941EDD">
        <w:rPr>
          <w:rFonts w:cs="Arial"/>
          <w:color w:val="000000"/>
          <w:szCs w:val="22"/>
          <w:lang w:val="es-419"/>
        </w:rPr>
        <w:t xml:space="preserve"> V, Martorell R.  </w:t>
      </w:r>
      <w:r w:rsidRPr="00941EDD">
        <w:rPr>
          <w:rFonts w:cs="Arial"/>
          <w:color w:val="000000"/>
          <w:szCs w:val="22"/>
        </w:rPr>
        <w:t xml:space="preserve">Impact of double-fortified salt with iron and iodine on hemoglobin, anemia, and iron deficiency anemia: A systematic review and meta-analysis. </w:t>
      </w:r>
      <w:r w:rsidRPr="00941EDD">
        <w:rPr>
          <w:rFonts w:cs="Arial"/>
          <w:i/>
          <w:color w:val="000000"/>
          <w:szCs w:val="22"/>
        </w:rPr>
        <w:t xml:space="preserve">Adv in </w:t>
      </w:r>
      <w:proofErr w:type="spellStart"/>
      <w:r w:rsidRPr="00941EDD">
        <w:rPr>
          <w:rFonts w:cs="Arial"/>
          <w:i/>
          <w:color w:val="000000"/>
          <w:szCs w:val="22"/>
        </w:rPr>
        <w:t>Nutr</w:t>
      </w:r>
      <w:proofErr w:type="spellEnd"/>
      <w:r w:rsidRPr="00941EDD">
        <w:rPr>
          <w:rFonts w:cs="Arial"/>
          <w:color w:val="000000"/>
          <w:szCs w:val="22"/>
        </w:rPr>
        <w:t xml:space="preserve"> 9(3):207-218, 2018 May. </w:t>
      </w:r>
      <w:r w:rsidRPr="00941EDD">
        <w:rPr>
          <w:rFonts w:ascii="Garamond" w:hAnsi="Garamond" w:cs="Calibri"/>
          <w:color w:val="000000"/>
          <w:szCs w:val="22"/>
        </w:rPr>
        <w:t>(</w:t>
      </w:r>
      <w:r w:rsidRPr="00941EDD">
        <w:rPr>
          <w:rFonts w:cs="Arial"/>
          <w:color w:val="000000"/>
          <w:szCs w:val="22"/>
        </w:rPr>
        <w:t>PMID: 29767699)</w:t>
      </w:r>
    </w:p>
    <w:p w14:paraId="1DC3A0D2" w14:textId="77777777" w:rsidR="00405955" w:rsidRDefault="00405955" w:rsidP="00405955">
      <w:pPr>
        <w:widowControl w:val="0"/>
        <w:adjustRightInd w:val="0"/>
        <w:jc w:val="both"/>
        <w:rPr>
          <w:rFonts w:cs="Arial"/>
          <w:color w:val="000000"/>
          <w:szCs w:val="22"/>
        </w:rPr>
      </w:pPr>
    </w:p>
    <w:p w14:paraId="6D835B50" w14:textId="36094C5F" w:rsidR="00941EDD" w:rsidRDefault="00941EDD" w:rsidP="00405955">
      <w:pPr>
        <w:widowControl w:val="0"/>
        <w:adjustRightInd w:val="0"/>
        <w:jc w:val="both"/>
      </w:pPr>
      <w:r w:rsidRPr="00673BC5">
        <w:t xml:space="preserve">List of Published Work in </w:t>
      </w:r>
      <w:r>
        <w:t>PubMed and Google Scholar (H index 111; Citations: &gt;93 K)</w:t>
      </w:r>
    </w:p>
    <w:p w14:paraId="1FA07A77" w14:textId="77777777" w:rsidR="00941EDD" w:rsidRDefault="00941EDD" w:rsidP="00941EDD">
      <w:pPr>
        <w:widowControl w:val="0"/>
        <w:adjustRightInd w:val="0"/>
        <w:ind w:left="720"/>
        <w:jc w:val="both"/>
      </w:pPr>
    </w:p>
    <w:p w14:paraId="6352FACE" w14:textId="77777777" w:rsidR="00941EDD" w:rsidRDefault="00941EDD" w:rsidP="00941EDD">
      <w:pPr>
        <w:pStyle w:val="Heading2"/>
        <w:spacing w:before="0" w:after="0"/>
      </w:pPr>
      <w:r>
        <w:t xml:space="preserve"> </w:t>
      </w:r>
      <w:hyperlink r:id="rId12" w:history="1">
        <w:r w:rsidRPr="00C2660C">
          <w:rPr>
            <w:rStyle w:val="Hyperlink"/>
          </w:rPr>
          <w:t>https://pubmed.ncbi.nlm.nih.gov/?term=reynaldo+martorell</w:t>
        </w:r>
      </w:hyperlink>
    </w:p>
    <w:p w14:paraId="5CE1EAD0" w14:textId="016C9CA9" w:rsidR="002C51BC" w:rsidRPr="00A128A0" w:rsidRDefault="00405955" w:rsidP="00941EDD">
      <w:pPr>
        <w:pStyle w:val="DataField11pt-Single"/>
        <w:rPr>
          <w:rStyle w:val="Strong"/>
        </w:rPr>
      </w:pPr>
      <w:hyperlink r:id="rId13" w:history="1">
        <w:r w:rsidR="00941EDD" w:rsidRPr="00FE0D52">
          <w:rPr>
            <w:rStyle w:val="Hyperlink"/>
          </w:rPr>
          <w:t>https://scholar.google.com/citations?user=vhXPe28AAAAJ&amp;hl=en</w:t>
        </w:r>
      </w:hyperlink>
    </w:p>
    <w:p w14:paraId="5BB8C337" w14:textId="10B44E9F" w:rsidR="00FC5F9E" w:rsidRPr="00E03323" w:rsidRDefault="00FC5F9E" w:rsidP="00941EDD">
      <w:pPr>
        <w:pStyle w:val="DataField11pt-Single"/>
        <w:rPr>
          <w:rStyle w:val="Strong"/>
          <w:b w:val="0"/>
        </w:rPr>
      </w:pPr>
    </w:p>
    <w:sectPr w:rsidR="00FC5F9E" w:rsidRPr="00E03323" w:rsidSect="00DF7645">
      <w:headerReference w:type="default" r:id="rId14"/>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0B83E" w14:textId="77777777" w:rsidR="00307C9E" w:rsidRDefault="00307C9E">
      <w:r>
        <w:separator/>
      </w:r>
    </w:p>
  </w:endnote>
  <w:endnote w:type="continuationSeparator" w:id="0">
    <w:p w14:paraId="1B806235" w14:textId="77777777" w:rsidR="00307C9E" w:rsidRDefault="00307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AB5EF" w14:textId="77777777" w:rsidR="00307C9E" w:rsidRDefault="00307C9E">
      <w:r>
        <w:separator/>
      </w:r>
    </w:p>
  </w:footnote>
  <w:footnote w:type="continuationSeparator" w:id="0">
    <w:p w14:paraId="77F8F043" w14:textId="77777777" w:rsidR="00307C9E" w:rsidRDefault="00307C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11255" w14:textId="4BE79BB4" w:rsidR="00E127A1" w:rsidRDefault="00E127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00000C"/>
    <w:multiLevelType w:val="multilevel"/>
    <w:tmpl w:val="00000000"/>
    <w:lvl w:ilvl="0">
      <w:start w:val="1"/>
      <w:numFmt w:val="upperLetter"/>
      <w:pStyle w:val="Level1"/>
      <w:lvlText w:val="%1)"/>
      <w:lvlJc w:val="left"/>
      <w:rPr>
        <w:b/>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1"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3" w15:restartNumberingAfterBreak="0">
    <w:nsid w:val="2ADE2FA9"/>
    <w:multiLevelType w:val="hybridMultilevel"/>
    <w:tmpl w:val="FA7052D4"/>
    <w:lvl w:ilvl="0" w:tplc="580A000F">
      <w:start w:val="1"/>
      <w:numFmt w:val="decimal"/>
      <w:lvlText w:val="%1."/>
      <w:lvlJc w:val="left"/>
      <w:pPr>
        <w:ind w:left="720" w:hanging="360"/>
      </w:pPr>
      <w:rPr>
        <w:rFonts w:hint="default"/>
      </w:rPr>
    </w:lvl>
    <w:lvl w:ilvl="1" w:tplc="580A0019">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4"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9217166"/>
    <w:multiLevelType w:val="hybridMultilevel"/>
    <w:tmpl w:val="F39C6624"/>
    <w:lvl w:ilvl="0" w:tplc="9F981F60">
      <w:start w:val="1"/>
      <w:numFmt w:val="decimal"/>
      <w:lvlText w:val="%1."/>
      <w:lvlJc w:val="left"/>
      <w:pPr>
        <w:ind w:left="360" w:hanging="360"/>
      </w:pPr>
      <w:rPr>
        <w:rFonts w:hint="default"/>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9643C81"/>
    <w:multiLevelType w:val="hybridMultilevel"/>
    <w:tmpl w:val="072C75AC"/>
    <w:lvl w:ilvl="0" w:tplc="D25A561A">
      <w:start w:val="1"/>
      <w:numFmt w:val="decimal"/>
      <w:lvlText w:val="%1."/>
      <w:lvlJc w:val="left"/>
      <w:pPr>
        <w:ind w:left="720" w:hanging="360"/>
      </w:pPr>
      <w:rPr>
        <w:rFonts w:ascii="Arial" w:hAnsi="Arial" w:cs="Arial" w:hint="default"/>
        <w:b w:val="0"/>
        <w:sz w:val="22"/>
        <w:szCs w:val="22"/>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7" w15:restartNumberingAfterBreak="0">
    <w:nsid w:val="4D753697"/>
    <w:multiLevelType w:val="hybridMultilevel"/>
    <w:tmpl w:val="1D7A2C06"/>
    <w:lvl w:ilvl="0" w:tplc="580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9" w15:restartNumberingAfterBreak="0">
    <w:nsid w:val="67FE3A95"/>
    <w:multiLevelType w:val="hybridMultilevel"/>
    <w:tmpl w:val="214A7D00"/>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0"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8"/>
  </w:num>
  <w:num w:numId="13">
    <w:abstractNumId w:val="12"/>
  </w:num>
  <w:num w:numId="14">
    <w:abstractNumId w:val="22"/>
  </w:num>
  <w:num w:numId="15">
    <w:abstractNumId w:val="20"/>
  </w:num>
  <w:num w:numId="16">
    <w:abstractNumId w:val="21"/>
  </w:num>
  <w:num w:numId="17">
    <w:abstractNumId w:val="11"/>
  </w:num>
  <w:num w:numId="18">
    <w:abstractNumId w:val="14"/>
  </w:num>
  <w:num w:numId="19">
    <w:abstractNumId w:val="10"/>
    <w:lvlOverride w:ilvl="0">
      <w:startOverride w:val="6"/>
      <w:lvl w:ilvl="0">
        <w:start w:val="6"/>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0">
    <w:abstractNumId w:val="15"/>
  </w:num>
  <w:num w:numId="21">
    <w:abstractNumId w:val="13"/>
  </w:num>
  <w:num w:numId="22">
    <w:abstractNumId w:val="19"/>
  </w:num>
  <w:num w:numId="23">
    <w:abstractNumId w:val="16"/>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A45"/>
    <w:rsid w:val="00007231"/>
    <w:rsid w:val="00023A7A"/>
    <w:rsid w:val="00067621"/>
    <w:rsid w:val="00084466"/>
    <w:rsid w:val="000C4411"/>
    <w:rsid w:val="000E3BEC"/>
    <w:rsid w:val="00106DA1"/>
    <w:rsid w:val="00122EB3"/>
    <w:rsid w:val="00132CA6"/>
    <w:rsid w:val="0014571A"/>
    <w:rsid w:val="00170D87"/>
    <w:rsid w:val="00177D49"/>
    <w:rsid w:val="00182189"/>
    <w:rsid w:val="00183022"/>
    <w:rsid w:val="001C065C"/>
    <w:rsid w:val="00202565"/>
    <w:rsid w:val="002506F6"/>
    <w:rsid w:val="0028051C"/>
    <w:rsid w:val="002A70D9"/>
    <w:rsid w:val="002B7443"/>
    <w:rsid w:val="002C4808"/>
    <w:rsid w:val="002C51BC"/>
    <w:rsid w:val="002D7520"/>
    <w:rsid w:val="002E2CA2"/>
    <w:rsid w:val="002E5125"/>
    <w:rsid w:val="00307C9E"/>
    <w:rsid w:val="00321A19"/>
    <w:rsid w:val="0035045F"/>
    <w:rsid w:val="0037667F"/>
    <w:rsid w:val="00382AB6"/>
    <w:rsid w:val="00383712"/>
    <w:rsid w:val="003C2647"/>
    <w:rsid w:val="003C3CA5"/>
    <w:rsid w:val="003C62D6"/>
    <w:rsid w:val="003D2399"/>
    <w:rsid w:val="003E4A92"/>
    <w:rsid w:val="003F6A45"/>
    <w:rsid w:val="0040289D"/>
    <w:rsid w:val="00405955"/>
    <w:rsid w:val="00432346"/>
    <w:rsid w:val="00447F3A"/>
    <w:rsid w:val="004759D9"/>
    <w:rsid w:val="0049068A"/>
    <w:rsid w:val="00493D23"/>
    <w:rsid w:val="004A3FC8"/>
    <w:rsid w:val="00503B57"/>
    <w:rsid w:val="005145BB"/>
    <w:rsid w:val="00517BFD"/>
    <w:rsid w:val="0054471F"/>
    <w:rsid w:val="005461F3"/>
    <w:rsid w:val="00547118"/>
    <w:rsid w:val="00547AC9"/>
    <w:rsid w:val="00585E10"/>
    <w:rsid w:val="00592740"/>
    <w:rsid w:val="005A7F6F"/>
    <w:rsid w:val="005C2BDD"/>
    <w:rsid w:val="005C2CF8"/>
    <w:rsid w:val="005C47A8"/>
    <w:rsid w:val="005E406E"/>
    <w:rsid w:val="005F0B12"/>
    <w:rsid w:val="005F5F51"/>
    <w:rsid w:val="00601C69"/>
    <w:rsid w:val="00616BCC"/>
    <w:rsid w:val="00624261"/>
    <w:rsid w:val="00646AF9"/>
    <w:rsid w:val="00656AB8"/>
    <w:rsid w:val="006609B6"/>
    <w:rsid w:val="00671FD5"/>
    <w:rsid w:val="0068699D"/>
    <w:rsid w:val="006A353C"/>
    <w:rsid w:val="006A56FC"/>
    <w:rsid w:val="006B2D1C"/>
    <w:rsid w:val="006C1E1F"/>
    <w:rsid w:val="006C4A2E"/>
    <w:rsid w:val="006E6FB5"/>
    <w:rsid w:val="007050F5"/>
    <w:rsid w:val="0071140F"/>
    <w:rsid w:val="00722C8F"/>
    <w:rsid w:val="00763DE9"/>
    <w:rsid w:val="00781234"/>
    <w:rsid w:val="007B7AF3"/>
    <w:rsid w:val="007E6E1E"/>
    <w:rsid w:val="008073EB"/>
    <w:rsid w:val="00843027"/>
    <w:rsid w:val="00873917"/>
    <w:rsid w:val="00874EBC"/>
    <w:rsid w:val="0087514A"/>
    <w:rsid w:val="00890CA9"/>
    <w:rsid w:val="009211D3"/>
    <w:rsid w:val="00933173"/>
    <w:rsid w:val="00934124"/>
    <w:rsid w:val="00941EDD"/>
    <w:rsid w:val="00952A27"/>
    <w:rsid w:val="00977FA5"/>
    <w:rsid w:val="009D7E97"/>
    <w:rsid w:val="009E52CA"/>
    <w:rsid w:val="009F627F"/>
    <w:rsid w:val="009F72E5"/>
    <w:rsid w:val="00A03FFA"/>
    <w:rsid w:val="00A04942"/>
    <w:rsid w:val="00A04B52"/>
    <w:rsid w:val="00A1469B"/>
    <w:rsid w:val="00A14EF5"/>
    <w:rsid w:val="00A26D0F"/>
    <w:rsid w:val="00A42D9B"/>
    <w:rsid w:val="00A50A8B"/>
    <w:rsid w:val="00A55D1D"/>
    <w:rsid w:val="00A63D7C"/>
    <w:rsid w:val="00A7514C"/>
    <w:rsid w:val="00A8122C"/>
    <w:rsid w:val="00A83312"/>
    <w:rsid w:val="00AE41C4"/>
    <w:rsid w:val="00B8003A"/>
    <w:rsid w:val="00C05C55"/>
    <w:rsid w:val="00C076C6"/>
    <w:rsid w:val="00C1247F"/>
    <w:rsid w:val="00C137DA"/>
    <w:rsid w:val="00C20F69"/>
    <w:rsid w:val="00C3113F"/>
    <w:rsid w:val="00C4536F"/>
    <w:rsid w:val="00C46ADA"/>
    <w:rsid w:val="00C8438D"/>
    <w:rsid w:val="00C85025"/>
    <w:rsid w:val="00C918BD"/>
    <w:rsid w:val="00C94E59"/>
    <w:rsid w:val="00CA087C"/>
    <w:rsid w:val="00CA680A"/>
    <w:rsid w:val="00CE0951"/>
    <w:rsid w:val="00CF68A2"/>
    <w:rsid w:val="00CF6FAD"/>
    <w:rsid w:val="00D3779E"/>
    <w:rsid w:val="00D679E5"/>
    <w:rsid w:val="00D74391"/>
    <w:rsid w:val="00D83360"/>
    <w:rsid w:val="00D90797"/>
    <w:rsid w:val="00DB7B85"/>
    <w:rsid w:val="00DD31B4"/>
    <w:rsid w:val="00DF7645"/>
    <w:rsid w:val="00E03323"/>
    <w:rsid w:val="00E047AD"/>
    <w:rsid w:val="00E12287"/>
    <w:rsid w:val="00E127A1"/>
    <w:rsid w:val="00E15579"/>
    <w:rsid w:val="00E20E6D"/>
    <w:rsid w:val="00E355C2"/>
    <w:rsid w:val="00E53B95"/>
    <w:rsid w:val="00E67A05"/>
    <w:rsid w:val="00E74AB7"/>
    <w:rsid w:val="00E81FE1"/>
    <w:rsid w:val="00E90203"/>
    <w:rsid w:val="00EA0405"/>
    <w:rsid w:val="00ED35D7"/>
    <w:rsid w:val="00ED61AB"/>
    <w:rsid w:val="00EF4C32"/>
    <w:rsid w:val="00EF69CD"/>
    <w:rsid w:val="00F02126"/>
    <w:rsid w:val="00F07AB3"/>
    <w:rsid w:val="00F262AB"/>
    <w:rsid w:val="00F7284D"/>
    <w:rsid w:val="00F94A2B"/>
    <w:rsid w:val="00FA00C6"/>
    <w:rsid w:val="00FC5F9E"/>
    <w:rsid w:val="00FE10AD"/>
    <w:rsid w:val="00FE52B9"/>
    <w:rsid w:val="00FE7A5F"/>
    <w:rsid w:val="00FF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DF5C490"/>
  <w15:chartTrackingRefBased/>
  <w15:docId w15:val="{6A0637CB-648B-4C13-B815-8F67F3708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Normal"/>
    <w:next w:val="Normal"/>
    <w:qFormat/>
    <w:rsid w:val="002B7443"/>
    <w:pPr>
      <w:pBdr>
        <w:top w:val="single" w:sz="4" w:space="12" w:color="auto"/>
      </w:pBdr>
      <w:jc w:val="center"/>
      <w:outlineLvl w:val="0"/>
    </w:pPr>
    <w:rPr>
      <w:rFonts w:cs="Arial"/>
      <w:b/>
      <w:bCs/>
      <w:szCs w:val="22"/>
    </w:rPr>
  </w:style>
  <w:style w:type="paragraph" w:styleId="Heading2">
    <w:name w:val="heading 2"/>
    <w:basedOn w:val="Subtitle"/>
    <w:next w:val="Normal"/>
    <w:qFormat/>
    <w:rsid w:val="00656AB8"/>
  </w:style>
  <w:style w:type="paragraph" w:styleId="Heading3">
    <w:name w:val="heading 3"/>
    <w:basedOn w:val="Subtitle2"/>
    <w:next w:val="Normal"/>
    <w:link w:val="Heading3Char"/>
    <w:unhideWhenUsed/>
    <w:qFormat/>
    <w:rsid w:val="00656AB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2B7443"/>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656AB8"/>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character" w:customStyle="1" w:styleId="Heading3Char">
    <w:name w:val="Heading 3 Char"/>
    <w:basedOn w:val="DefaultParagraphFont"/>
    <w:link w:val="Heading3"/>
    <w:rsid w:val="00656AB8"/>
    <w:rPr>
      <w:rFonts w:ascii="Arial" w:hAnsi="Arial"/>
      <w:b/>
      <w:bCs/>
      <w:sz w:val="22"/>
      <w:u w:val="single"/>
    </w:rPr>
  </w:style>
  <w:style w:type="paragraph" w:customStyle="1" w:styleId="FormFieldCaption1">
    <w:name w:val="Form Field Caption1"/>
    <w:basedOn w:val="FormFieldCaption"/>
    <w:qFormat/>
    <w:rsid w:val="002B7443"/>
    <w:pPr>
      <w:spacing w:after="160"/>
    </w:pPr>
  </w:style>
  <w:style w:type="table" w:styleId="TableGrid">
    <w:name w:val="Table Grid"/>
    <w:basedOn w:val="TableNormal"/>
    <w:rsid w:val="002B7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2B7443"/>
    <w:rPr>
      <w:sz w:val="16"/>
      <w:szCs w:val="16"/>
    </w:rPr>
  </w:style>
  <w:style w:type="paragraph" w:styleId="CommentText">
    <w:name w:val="annotation text"/>
    <w:basedOn w:val="Normal"/>
    <w:link w:val="CommentTextChar"/>
    <w:rsid w:val="002B7443"/>
    <w:rPr>
      <w:sz w:val="20"/>
      <w:szCs w:val="20"/>
    </w:rPr>
  </w:style>
  <w:style w:type="character" w:customStyle="1" w:styleId="CommentTextChar">
    <w:name w:val="Comment Text Char"/>
    <w:basedOn w:val="DefaultParagraphFont"/>
    <w:link w:val="CommentText"/>
    <w:rsid w:val="002B7443"/>
    <w:rPr>
      <w:rFonts w:ascii="Arial" w:hAnsi="Arial"/>
    </w:rPr>
  </w:style>
  <w:style w:type="paragraph" w:styleId="CommentSubject">
    <w:name w:val="annotation subject"/>
    <w:basedOn w:val="CommentText"/>
    <w:next w:val="CommentText"/>
    <w:link w:val="CommentSubjectChar"/>
    <w:rsid w:val="002B7443"/>
    <w:rPr>
      <w:b/>
      <w:bCs/>
    </w:rPr>
  </w:style>
  <w:style w:type="character" w:customStyle="1" w:styleId="CommentSubjectChar">
    <w:name w:val="Comment Subject Char"/>
    <w:basedOn w:val="CommentTextChar"/>
    <w:link w:val="CommentSubject"/>
    <w:rsid w:val="002B7443"/>
    <w:rPr>
      <w:rFonts w:ascii="Arial" w:hAnsi="Arial"/>
      <w:b/>
      <w:bCs/>
    </w:rPr>
  </w:style>
  <w:style w:type="paragraph" w:styleId="BalloonText">
    <w:name w:val="Balloon Text"/>
    <w:basedOn w:val="Normal"/>
    <w:link w:val="BalloonTextChar"/>
    <w:rsid w:val="002B7443"/>
    <w:rPr>
      <w:rFonts w:ascii="Segoe UI" w:hAnsi="Segoe UI" w:cs="Segoe UI"/>
      <w:sz w:val="18"/>
      <w:szCs w:val="18"/>
    </w:rPr>
  </w:style>
  <w:style w:type="character" w:customStyle="1" w:styleId="BalloonTextChar">
    <w:name w:val="Balloon Text Char"/>
    <w:basedOn w:val="DefaultParagraphFont"/>
    <w:link w:val="BalloonText"/>
    <w:rsid w:val="002B7443"/>
    <w:rPr>
      <w:rFonts w:ascii="Segoe UI" w:hAnsi="Segoe UI" w:cs="Segoe UI"/>
      <w:sz w:val="18"/>
      <w:szCs w:val="18"/>
    </w:rPr>
  </w:style>
  <w:style w:type="paragraph" w:styleId="Title">
    <w:name w:val="Title"/>
    <w:basedOn w:val="Normal"/>
    <w:next w:val="Normal"/>
    <w:link w:val="TitleChar"/>
    <w:qFormat/>
    <w:rsid w:val="006E6FB5"/>
    <w:pPr>
      <w:pBdr>
        <w:top w:val="single" w:sz="4" w:space="1" w:color="auto"/>
      </w:pBdr>
      <w:spacing w:before="240"/>
      <w:jc w:val="center"/>
    </w:pPr>
    <w:rPr>
      <w:b/>
    </w:rPr>
  </w:style>
  <w:style w:type="character" w:customStyle="1" w:styleId="TitleChar">
    <w:name w:val="Title Char"/>
    <w:basedOn w:val="DefaultParagraphFont"/>
    <w:link w:val="Title"/>
    <w:rsid w:val="006E6FB5"/>
    <w:rPr>
      <w:rFonts w:ascii="Arial" w:hAnsi="Arial"/>
      <w:b/>
      <w:sz w:val="22"/>
      <w:szCs w:val="24"/>
    </w:rPr>
  </w:style>
  <w:style w:type="paragraph" w:styleId="BodyText">
    <w:name w:val="Body Text"/>
    <w:basedOn w:val="Normal"/>
    <w:link w:val="BodyTextChar"/>
    <w:uiPriority w:val="99"/>
    <w:rsid w:val="006E6FB5"/>
    <w:pPr>
      <w:spacing w:after="120"/>
    </w:pPr>
  </w:style>
  <w:style w:type="character" w:customStyle="1" w:styleId="BodyTextChar">
    <w:name w:val="Body Text Char"/>
    <w:basedOn w:val="DefaultParagraphFont"/>
    <w:link w:val="BodyText"/>
    <w:uiPriority w:val="99"/>
    <w:rsid w:val="006E6FB5"/>
    <w:rPr>
      <w:rFonts w:ascii="Arial" w:hAnsi="Arial"/>
      <w:sz w:val="22"/>
      <w:szCs w:val="24"/>
    </w:rPr>
  </w:style>
  <w:style w:type="paragraph" w:styleId="ListParagraph">
    <w:name w:val="List Paragraph"/>
    <w:basedOn w:val="Normal"/>
    <w:uiPriority w:val="34"/>
    <w:qFormat/>
    <w:rsid w:val="00941EDD"/>
    <w:pPr>
      <w:ind w:left="720"/>
    </w:pPr>
  </w:style>
  <w:style w:type="paragraph" w:customStyle="1" w:styleId="Level1">
    <w:name w:val="Level 1"/>
    <w:basedOn w:val="Normal"/>
    <w:rsid w:val="00941EDD"/>
    <w:pPr>
      <w:widowControl w:val="0"/>
      <w:numPr>
        <w:numId w:val="19"/>
      </w:numPr>
      <w:adjustRightInd w:val="0"/>
      <w:ind w:left="360" w:hanging="360"/>
      <w:outlineLvl w:val="0"/>
    </w:pPr>
    <w:rPr>
      <w:rFonts w:ascii="Baskerville Old Face" w:hAnsi="Baskerville Old Face"/>
      <w:sz w:val="20"/>
    </w:rPr>
  </w:style>
  <w:style w:type="character" w:customStyle="1" w:styleId="rprtid">
    <w:name w:val="rprtid"/>
    <w:basedOn w:val="DefaultParagraphFont"/>
    <w:rsid w:val="00941E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cholar.google.com/citations?user=vhXPe28AAAAJ&amp;hl=e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pubmed.ncbi.nlm.nih.gov/?term=reynaldo+martorel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cbi.nlm.nih.gov/pmc/articles/PMC5898001/"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ncbi.nlm.nih.gov/pmc/articles/PMC620023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100C7699C73A498CB057F667D9CD99" ma:contentTypeVersion="14" ma:contentTypeDescription="Create a new document." ma:contentTypeScope="" ma:versionID="da1b2f359c56964e8a9e5ba2f4a7bb8e">
  <xsd:schema xmlns:xsd="http://www.w3.org/2001/XMLSchema" xmlns:xs="http://www.w3.org/2001/XMLSchema" xmlns:p="http://schemas.microsoft.com/office/2006/metadata/properties" xmlns:ns1="http://schemas.microsoft.com/sharepoint/v3" xmlns:ns3="0b516ab0-04e4-4c88-99cd-523706b96b1a" xmlns:ns4="589fc4a7-9825-4918-b2d3-6237c872ffbf" targetNamespace="http://schemas.microsoft.com/office/2006/metadata/properties" ma:root="true" ma:fieldsID="13579475e6e87a3a4fadde96db207311" ns1:_="" ns3:_="" ns4:_="">
    <xsd:import namespace="http://schemas.microsoft.com/sharepoint/v3"/>
    <xsd:import namespace="0b516ab0-04e4-4c88-99cd-523706b96b1a"/>
    <xsd:import namespace="589fc4a7-9825-4918-b2d3-6237c872ffb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516ab0-04e4-4c88-99cd-523706b96b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9fc4a7-9825-4918-b2d3-6237c872ffb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2.xml><?xml version="1.0" encoding="utf-8"?>
<ds:datastoreItem xmlns:ds="http://schemas.openxmlformats.org/officeDocument/2006/customXml" ds:itemID="{89D37666-E58B-431B-B07E-592DB74D62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b516ab0-04e4-4c88-99cd-523706b96b1a"/>
    <ds:schemaRef ds:uri="589fc4a7-9825-4918-b2d3-6237c872ff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76CE26-06FF-4835-817C-1A5CD3E7E1B8}">
  <ds:schemaRefs>
    <ds:schemaRef ds:uri="http://schemas.microsoft.com/office/2006/documentManagement/types"/>
    <ds:schemaRef ds:uri="http://schemas.openxmlformats.org/package/2006/metadata/core-properties"/>
    <ds:schemaRef ds:uri="0b516ab0-04e4-4c88-99cd-523706b96b1a"/>
    <ds:schemaRef ds:uri="http://purl.org/dc/elements/1.1/"/>
    <ds:schemaRef ds:uri="http://schemas.microsoft.com/office/2006/metadata/properties"/>
    <ds:schemaRef ds:uri="http://schemas.microsoft.com/office/infopath/2007/PartnerControls"/>
    <ds:schemaRef ds:uri="http://purl.org/dc/terms/"/>
    <ds:schemaRef ds:uri="http://schemas.microsoft.com/sharepoint/v3"/>
    <ds:schemaRef ds:uri="589fc4a7-9825-4918-b2d3-6237c872ffb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2035</Words>
  <Characters>12227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OMB No. 0925-0046, Biographical Sketch Format Page</vt:lpstr>
    </vt:vector>
  </TitlesOfParts>
  <Company>DHHS/PHS/NIH</Company>
  <LinksUpToDate>false</LinksUpToDate>
  <CharactersWithSpaces>14234</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0925-0046, Biographical Sketch Format Page</dc:title>
  <dc:subject>DHHS, Public Health Service Grant Application</dc:subject>
  <dc:creator>Office of Extramural Programs</dc:creator>
  <cp:keywords>PHS Grant Application, 0925-0001/0002, (Rev. 08/12), Biographical Sketch Format Page</cp:keywords>
  <dc:description/>
  <cp:lastModifiedBy>Smith, Sandra C.</cp:lastModifiedBy>
  <cp:revision>3</cp:revision>
  <cp:lastPrinted>2011-03-11T19:43:00Z</cp:lastPrinted>
  <dcterms:created xsi:type="dcterms:W3CDTF">2022-01-31T21:05:00Z</dcterms:created>
  <dcterms:modified xsi:type="dcterms:W3CDTF">2022-02-01T15:11:00Z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0x01010027100C7699C73A498CB057F667D9CD99</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